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p>
    <w:p>
      <w:pPr>
        <w:jc w:val="center"/>
        <w:rPr>
          <w:rFonts w:ascii="黑体" w:hAnsi="黑体" w:eastAsia="黑体" w:cs="黑体"/>
          <w:sz w:val="52"/>
          <w:szCs w:val="52"/>
        </w:rPr>
      </w:pPr>
      <w:r>
        <w:rPr>
          <w:rFonts w:hint="eastAsia" w:ascii="黑体" w:hAnsi="黑体" w:eastAsia="黑体" w:cs="黑体"/>
          <w:sz w:val="52"/>
          <w:szCs w:val="52"/>
        </w:rPr>
        <w:t>中共舞阳县委宣传部</w:t>
      </w:r>
    </w:p>
    <w:p>
      <w:pPr>
        <w:jc w:val="center"/>
        <w:rPr>
          <w:rFonts w:ascii="黑体" w:hAnsi="黑体" w:eastAsia="黑体" w:cs="黑体"/>
          <w:sz w:val="52"/>
          <w:szCs w:val="52"/>
        </w:rPr>
      </w:pPr>
      <w:r>
        <w:rPr>
          <w:rFonts w:hint="eastAsia" w:ascii="黑体" w:hAnsi="黑体" w:eastAsia="黑体" w:cs="黑体"/>
          <w:sz w:val="52"/>
          <w:szCs w:val="52"/>
        </w:rPr>
        <w:t>2020年度部门预算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r>
        <w:rPr>
          <w:rFonts w:hint="eastAsia" w:ascii="黑体" w:hAnsi="黑体" w:eastAsia="黑体" w:cs="黑体"/>
          <w:sz w:val="32"/>
          <w:szCs w:val="32"/>
        </w:rPr>
        <w:t>二〇二〇年二月</w:t>
      </w: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p>
    <w:p>
      <w:pPr>
        <w:widowControl/>
        <w:spacing w:line="600" w:lineRule="exact"/>
        <w:jc w:val="center"/>
        <w:rPr>
          <w:rFonts w:ascii="黑体" w:hAnsi="黑体" w:eastAsia="黑体" w:cs="黑体"/>
          <w:sz w:val="32"/>
          <w:szCs w:val="32"/>
        </w:rPr>
      </w:pPr>
    </w:p>
    <w:p>
      <w:pPr>
        <w:widowControl/>
        <w:spacing w:line="600" w:lineRule="exact"/>
        <w:jc w:val="center"/>
        <w:rPr>
          <w:rFonts w:ascii="宋体" w:hAnsi="宋体" w:cs="Arial"/>
          <w:b/>
          <w:bCs/>
          <w:kern w:val="0"/>
          <w:sz w:val="40"/>
          <w:szCs w:val="40"/>
        </w:rPr>
      </w:pPr>
      <w:r>
        <w:rPr>
          <w:rFonts w:hint="eastAsia" w:ascii="宋体" w:hAnsi="宋体" w:cs="Arial"/>
          <w:b/>
          <w:bCs/>
          <w:kern w:val="0"/>
          <w:sz w:val="40"/>
          <w:szCs w:val="40"/>
        </w:rPr>
        <w:t>中共舞阳县委宣传部</w:t>
      </w:r>
    </w:p>
    <w:p>
      <w:pPr>
        <w:widowControl/>
        <w:spacing w:line="600" w:lineRule="exact"/>
        <w:jc w:val="center"/>
        <w:rPr>
          <w:rFonts w:ascii="宋体" w:hAnsi="宋体" w:cs="Arial"/>
          <w:b/>
          <w:bCs/>
          <w:kern w:val="0"/>
          <w:sz w:val="40"/>
          <w:szCs w:val="40"/>
        </w:rPr>
      </w:pPr>
      <w:r>
        <w:rPr>
          <w:rFonts w:ascii="宋体" w:hAnsi="宋体" w:cs="Arial"/>
          <w:b/>
          <w:bCs/>
          <w:kern w:val="0"/>
          <w:sz w:val="40"/>
          <w:szCs w:val="40"/>
        </w:rPr>
        <w:t>20</w:t>
      </w:r>
      <w:r>
        <w:rPr>
          <w:rFonts w:hint="eastAsia" w:ascii="宋体" w:hAnsi="宋体" w:cs="Arial"/>
          <w:b/>
          <w:bCs/>
          <w:kern w:val="0"/>
          <w:sz w:val="40"/>
          <w:szCs w:val="40"/>
        </w:rPr>
        <w:t>20</w:t>
      </w:r>
      <w:r>
        <w:rPr>
          <w:rFonts w:ascii="宋体" w:hAnsi="宋体" w:cs="Arial"/>
          <w:b/>
          <w:bCs/>
          <w:kern w:val="0"/>
          <w:sz w:val="40"/>
          <w:szCs w:val="40"/>
        </w:rPr>
        <w:t>年</w:t>
      </w:r>
      <w:r>
        <w:rPr>
          <w:rFonts w:hint="eastAsia" w:ascii="宋体" w:hAnsi="宋体" w:cs="Arial"/>
          <w:b/>
          <w:bCs/>
          <w:kern w:val="0"/>
          <w:sz w:val="40"/>
          <w:szCs w:val="40"/>
        </w:rPr>
        <w:t>部门预算基本情况说明</w:t>
      </w:r>
    </w:p>
    <w:p>
      <w:pPr>
        <w:widowControl/>
        <w:spacing w:line="600" w:lineRule="exact"/>
        <w:jc w:val="center"/>
        <w:rPr>
          <w:rFonts w:ascii="宋体" w:hAnsi="宋体" w:cs="Arial"/>
          <w:b/>
          <w:bCs/>
          <w:kern w:val="0"/>
          <w:sz w:val="38"/>
          <w:szCs w:val="38"/>
        </w:rPr>
      </w:pPr>
    </w:p>
    <w:p>
      <w:pPr>
        <w:pStyle w:val="6"/>
        <w:snapToGrid w:val="0"/>
        <w:spacing w:before="0" w:beforeAutospacing="0" w:after="0" w:afterAutospacing="0" w:line="600" w:lineRule="exact"/>
        <w:jc w:val="center"/>
        <w:rPr>
          <w:rFonts w:cs="Tahoma"/>
          <w:sz w:val="44"/>
          <w:szCs w:val="44"/>
        </w:rPr>
      </w:pPr>
      <w:r>
        <w:rPr>
          <w:rFonts w:hint="eastAsia" w:cs="Tahoma"/>
          <w:sz w:val="44"/>
          <w:szCs w:val="44"/>
        </w:rPr>
        <w:t>目 录</w:t>
      </w:r>
    </w:p>
    <w:p>
      <w:pPr>
        <w:rPr>
          <w:sz w:val="32"/>
          <w:szCs w:val="32"/>
        </w:rPr>
      </w:pPr>
    </w:p>
    <w:p>
      <w:pPr>
        <w:pStyle w:val="6"/>
        <w:snapToGrid w:val="0"/>
        <w:spacing w:before="0" w:beforeAutospacing="0" w:after="0" w:afterAutospacing="0" w:line="600" w:lineRule="exact"/>
        <w:rPr>
          <w:rFonts w:cs="Tahoma"/>
          <w:b/>
          <w:bCs/>
          <w:sz w:val="28"/>
          <w:szCs w:val="28"/>
        </w:rPr>
      </w:pPr>
      <w:r>
        <w:rPr>
          <w:rFonts w:hint="eastAsia" w:cs="Tahoma"/>
          <w:b/>
          <w:bCs/>
          <w:sz w:val="28"/>
          <w:szCs w:val="28"/>
        </w:rPr>
        <w:t>第一部分 部门基本情况</w:t>
      </w:r>
    </w:p>
    <w:p>
      <w:pPr>
        <w:pStyle w:val="6"/>
        <w:snapToGrid w:val="0"/>
        <w:spacing w:before="0" w:beforeAutospacing="0" w:after="0" w:afterAutospacing="0" w:line="600" w:lineRule="exact"/>
        <w:ind w:firstLine="420" w:firstLineChars="150"/>
        <w:rPr>
          <w:rFonts w:cs="Tahoma"/>
          <w:sz w:val="28"/>
          <w:szCs w:val="28"/>
        </w:rPr>
      </w:pPr>
      <w:r>
        <w:rPr>
          <w:rFonts w:hint="eastAsia" w:cs="Tahoma"/>
          <w:sz w:val="28"/>
          <w:szCs w:val="28"/>
        </w:rPr>
        <w:t>一、部门机构设置、主要职能</w:t>
      </w:r>
    </w:p>
    <w:p>
      <w:pPr>
        <w:pStyle w:val="6"/>
        <w:snapToGrid w:val="0"/>
        <w:spacing w:before="0" w:beforeAutospacing="0" w:after="0" w:afterAutospacing="0" w:line="600" w:lineRule="exact"/>
        <w:ind w:firstLine="420" w:firstLineChars="150"/>
        <w:rPr>
          <w:rFonts w:cs="Tahoma"/>
          <w:sz w:val="28"/>
          <w:szCs w:val="28"/>
        </w:rPr>
      </w:pPr>
      <w:r>
        <w:rPr>
          <w:rFonts w:hint="eastAsia" w:cs="Tahoma"/>
          <w:sz w:val="28"/>
          <w:szCs w:val="28"/>
        </w:rPr>
        <w:t>二、部门预算单位构成</w:t>
      </w:r>
    </w:p>
    <w:p>
      <w:pPr>
        <w:pStyle w:val="6"/>
        <w:snapToGrid w:val="0"/>
        <w:spacing w:before="0" w:beforeAutospacing="0" w:after="0" w:afterAutospacing="0" w:line="600" w:lineRule="exact"/>
        <w:ind w:firstLine="420" w:firstLineChars="150"/>
        <w:rPr>
          <w:rFonts w:cs="Tahoma"/>
          <w:sz w:val="28"/>
          <w:szCs w:val="28"/>
        </w:rPr>
      </w:pPr>
      <w:r>
        <w:rPr>
          <w:rFonts w:hint="eastAsia" w:cs="Tahoma"/>
          <w:sz w:val="28"/>
          <w:szCs w:val="28"/>
        </w:rPr>
        <w:t>三、人员构成情况</w:t>
      </w:r>
    </w:p>
    <w:p>
      <w:pPr>
        <w:pStyle w:val="6"/>
        <w:snapToGrid w:val="0"/>
        <w:spacing w:before="0" w:beforeAutospacing="0" w:after="0" w:afterAutospacing="0" w:line="600" w:lineRule="exact"/>
        <w:rPr>
          <w:rFonts w:cs="Tahoma"/>
          <w:b/>
          <w:bCs/>
          <w:sz w:val="28"/>
          <w:szCs w:val="28"/>
        </w:rPr>
      </w:pPr>
      <w:r>
        <w:rPr>
          <w:rFonts w:hint="eastAsia" w:cs="Tahoma"/>
          <w:b/>
          <w:bCs/>
          <w:sz w:val="28"/>
          <w:szCs w:val="28"/>
        </w:rPr>
        <w:t>第二部分 中共舞阳县委宣传部2020年度部门预算基本情况说明</w:t>
      </w:r>
    </w:p>
    <w:p>
      <w:pPr>
        <w:pStyle w:val="6"/>
        <w:snapToGrid w:val="0"/>
        <w:spacing w:before="0" w:beforeAutospacing="0" w:after="0" w:afterAutospacing="0" w:line="600" w:lineRule="exact"/>
        <w:rPr>
          <w:rFonts w:cs="Tahoma"/>
          <w:b/>
          <w:bCs/>
          <w:sz w:val="28"/>
          <w:szCs w:val="28"/>
        </w:rPr>
      </w:pPr>
      <w:r>
        <w:rPr>
          <w:rFonts w:hint="eastAsia" w:cs="Tahoma"/>
          <w:b/>
          <w:bCs/>
          <w:sz w:val="28"/>
          <w:szCs w:val="28"/>
        </w:rPr>
        <w:t>第三部分 名词解释</w:t>
      </w:r>
    </w:p>
    <w:p>
      <w:pPr>
        <w:pStyle w:val="6"/>
        <w:snapToGrid w:val="0"/>
        <w:spacing w:before="0" w:beforeAutospacing="0" w:after="0" w:afterAutospacing="0" w:line="600" w:lineRule="exact"/>
        <w:rPr>
          <w:rFonts w:cs="Tahoma"/>
          <w:sz w:val="28"/>
          <w:szCs w:val="28"/>
        </w:rPr>
      </w:pPr>
      <w:r>
        <w:rPr>
          <w:rFonts w:hint="eastAsia" w:cs="Tahoma"/>
          <w:sz w:val="28"/>
          <w:szCs w:val="28"/>
        </w:rPr>
        <w:t>附件：2020年度部门预算表</w:t>
      </w:r>
    </w:p>
    <w:p>
      <w:pPr>
        <w:pStyle w:val="6"/>
        <w:snapToGrid w:val="0"/>
        <w:spacing w:before="0" w:beforeAutospacing="0" w:after="0" w:afterAutospacing="0" w:line="600" w:lineRule="exact"/>
        <w:rPr>
          <w:rFonts w:cs="Tahoma"/>
          <w:sz w:val="28"/>
          <w:szCs w:val="28"/>
        </w:rPr>
      </w:pPr>
      <w:r>
        <w:rPr>
          <w:rFonts w:hint="eastAsia" w:cs="Tahoma"/>
          <w:sz w:val="28"/>
          <w:szCs w:val="28"/>
        </w:rPr>
        <w:t>一、部门收支总体情况表</w:t>
      </w:r>
    </w:p>
    <w:p>
      <w:pPr>
        <w:pStyle w:val="6"/>
        <w:snapToGrid w:val="0"/>
        <w:spacing w:before="0" w:beforeAutospacing="0" w:after="0" w:afterAutospacing="0" w:line="600" w:lineRule="exact"/>
        <w:rPr>
          <w:rFonts w:cs="Tahoma"/>
          <w:sz w:val="28"/>
          <w:szCs w:val="28"/>
        </w:rPr>
      </w:pPr>
      <w:r>
        <w:rPr>
          <w:rFonts w:hint="eastAsia" w:cs="Tahoma"/>
          <w:sz w:val="28"/>
          <w:szCs w:val="28"/>
        </w:rPr>
        <w:t>二、部门收入总体情况表</w:t>
      </w:r>
    </w:p>
    <w:p>
      <w:pPr>
        <w:pStyle w:val="6"/>
        <w:snapToGrid w:val="0"/>
        <w:spacing w:before="0" w:beforeAutospacing="0" w:after="0" w:afterAutospacing="0" w:line="600" w:lineRule="exact"/>
        <w:rPr>
          <w:rFonts w:cs="Tahoma"/>
          <w:sz w:val="28"/>
          <w:szCs w:val="28"/>
        </w:rPr>
      </w:pPr>
      <w:r>
        <w:rPr>
          <w:rFonts w:hint="eastAsia" w:cs="Tahoma"/>
          <w:sz w:val="28"/>
          <w:szCs w:val="28"/>
        </w:rPr>
        <w:t>三、部门支出总体情况表</w:t>
      </w:r>
    </w:p>
    <w:p>
      <w:pPr>
        <w:pStyle w:val="6"/>
        <w:snapToGrid w:val="0"/>
        <w:spacing w:before="0" w:beforeAutospacing="0" w:after="0" w:afterAutospacing="0" w:line="600" w:lineRule="exact"/>
        <w:rPr>
          <w:rFonts w:cs="Tahoma"/>
          <w:sz w:val="28"/>
          <w:szCs w:val="28"/>
        </w:rPr>
      </w:pPr>
      <w:r>
        <w:rPr>
          <w:rFonts w:hint="eastAsia" w:cs="Tahoma"/>
          <w:sz w:val="28"/>
          <w:szCs w:val="28"/>
        </w:rPr>
        <w:t>四、财政拨款收支总体情况表</w:t>
      </w:r>
    </w:p>
    <w:p>
      <w:pPr>
        <w:pStyle w:val="6"/>
        <w:snapToGrid w:val="0"/>
        <w:spacing w:before="0" w:beforeAutospacing="0" w:after="0" w:afterAutospacing="0" w:line="600" w:lineRule="exact"/>
        <w:rPr>
          <w:rFonts w:cs="Tahoma"/>
          <w:sz w:val="28"/>
          <w:szCs w:val="28"/>
        </w:rPr>
      </w:pPr>
      <w:r>
        <w:rPr>
          <w:rFonts w:hint="eastAsia" w:cs="Tahoma"/>
          <w:sz w:val="28"/>
          <w:szCs w:val="28"/>
        </w:rPr>
        <w:t>五、一般公共预算支出情况表</w:t>
      </w:r>
    </w:p>
    <w:p>
      <w:pPr>
        <w:pStyle w:val="6"/>
        <w:snapToGrid w:val="0"/>
        <w:spacing w:before="0" w:beforeAutospacing="0" w:after="0" w:afterAutospacing="0" w:line="600" w:lineRule="exact"/>
        <w:rPr>
          <w:rFonts w:cs="Tahoma"/>
          <w:sz w:val="28"/>
          <w:szCs w:val="28"/>
        </w:rPr>
      </w:pPr>
      <w:r>
        <w:rPr>
          <w:rFonts w:hint="eastAsia" w:cs="Tahoma"/>
          <w:sz w:val="28"/>
          <w:szCs w:val="28"/>
        </w:rPr>
        <w:t>六、一般公共预算基本支出情况表</w:t>
      </w:r>
    </w:p>
    <w:p>
      <w:pPr>
        <w:pStyle w:val="6"/>
        <w:snapToGrid w:val="0"/>
        <w:spacing w:before="0" w:beforeAutospacing="0" w:after="0" w:afterAutospacing="0" w:line="600" w:lineRule="exact"/>
        <w:rPr>
          <w:rFonts w:cs="Tahoma"/>
          <w:sz w:val="28"/>
          <w:szCs w:val="28"/>
        </w:rPr>
      </w:pPr>
      <w:r>
        <w:rPr>
          <w:rFonts w:hint="eastAsia" w:cs="Tahoma"/>
          <w:sz w:val="28"/>
          <w:szCs w:val="28"/>
        </w:rPr>
        <w:t>七、一般公共预算“三公经费”支出情况表</w:t>
      </w:r>
    </w:p>
    <w:p>
      <w:pPr>
        <w:pStyle w:val="6"/>
        <w:snapToGrid w:val="0"/>
        <w:spacing w:before="0" w:beforeAutospacing="0" w:after="0" w:afterAutospacing="0" w:line="600" w:lineRule="exact"/>
        <w:rPr>
          <w:rFonts w:cs="Tahoma"/>
          <w:sz w:val="28"/>
          <w:szCs w:val="28"/>
        </w:rPr>
      </w:pPr>
      <w:r>
        <w:rPr>
          <w:rFonts w:hint="eastAsia" w:cs="Tahoma"/>
          <w:sz w:val="28"/>
          <w:szCs w:val="28"/>
        </w:rPr>
        <w:t>八、政府性基金预算支出情况表</w:t>
      </w:r>
    </w:p>
    <w:p>
      <w:pPr>
        <w:pStyle w:val="6"/>
        <w:snapToGrid w:val="0"/>
        <w:spacing w:before="0" w:beforeAutospacing="0" w:after="0" w:afterAutospacing="0" w:line="600" w:lineRule="exact"/>
        <w:rPr>
          <w:rFonts w:cs="Tahoma"/>
          <w:sz w:val="28"/>
          <w:szCs w:val="28"/>
        </w:rPr>
      </w:pPr>
      <w:r>
        <w:rPr>
          <w:rFonts w:hint="eastAsia" w:cs="Tahoma"/>
          <w:sz w:val="28"/>
          <w:szCs w:val="28"/>
        </w:rPr>
        <w:t>九、国有资本经营预算支出情况表</w:t>
      </w:r>
    </w:p>
    <w:p>
      <w:pPr>
        <w:widowControl/>
        <w:spacing w:line="600" w:lineRule="exact"/>
        <w:jc w:val="center"/>
        <w:rPr>
          <w:rFonts w:ascii="ˎ̥" w:hAnsi="ˎ̥" w:cs="宋体"/>
          <w:b/>
          <w:bCs/>
          <w:color w:val="000000" w:themeColor="text1"/>
          <w:kern w:val="0"/>
          <w:sz w:val="36"/>
          <w:szCs w:val="36"/>
        </w:rPr>
      </w:pPr>
    </w:p>
    <w:p>
      <w:pPr>
        <w:widowControl/>
        <w:spacing w:line="600" w:lineRule="exact"/>
        <w:jc w:val="center"/>
        <w:rPr>
          <w:rFonts w:ascii="ˎ̥" w:hAnsi="ˎ̥" w:cs="宋体"/>
          <w:b/>
          <w:bCs/>
          <w:color w:val="000000" w:themeColor="text1"/>
          <w:kern w:val="0"/>
          <w:sz w:val="36"/>
          <w:szCs w:val="36"/>
        </w:rPr>
      </w:pPr>
    </w:p>
    <w:p>
      <w:pPr>
        <w:widowControl/>
        <w:spacing w:line="620" w:lineRule="exact"/>
        <w:jc w:val="center"/>
        <w:rPr>
          <w:rFonts w:cs="宋体" w:asciiTheme="majorEastAsia" w:hAnsiTheme="majorEastAsia" w:eastAsiaTheme="majorEastAsia"/>
          <w:b/>
          <w:bCs/>
          <w:color w:val="000000" w:themeColor="text1"/>
          <w:kern w:val="0"/>
          <w:sz w:val="40"/>
          <w:szCs w:val="40"/>
        </w:rPr>
      </w:pPr>
      <w:r>
        <w:rPr>
          <w:rFonts w:hint="eastAsia" w:cs="宋体" w:asciiTheme="majorEastAsia" w:hAnsiTheme="majorEastAsia" w:eastAsiaTheme="majorEastAsia"/>
          <w:b/>
          <w:bCs/>
          <w:color w:val="000000" w:themeColor="text1"/>
          <w:kern w:val="0"/>
          <w:sz w:val="40"/>
          <w:szCs w:val="40"/>
        </w:rPr>
        <w:t>第一部分  部门基本情况</w:t>
      </w:r>
    </w:p>
    <w:p>
      <w:pPr>
        <w:widowControl/>
        <w:spacing w:line="620" w:lineRule="exact"/>
        <w:jc w:val="center"/>
        <w:rPr>
          <w:rFonts w:cs="宋体" w:asciiTheme="majorEastAsia" w:hAnsiTheme="majorEastAsia" w:eastAsiaTheme="majorEastAsia"/>
          <w:b/>
          <w:bCs/>
          <w:color w:val="000000" w:themeColor="text1"/>
          <w:kern w:val="0"/>
          <w:sz w:val="36"/>
          <w:szCs w:val="36"/>
        </w:rPr>
      </w:pPr>
    </w:p>
    <w:p>
      <w:pPr>
        <w:pStyle w:val="6"/>
        <w:snapToGrid w:val="0"/>
        <w:spacing w:before="0" w:beforeAutospacing="0" w:after="0" w:afterAutospacing="0" w:line="600" w:lineRule="exact"/>
        <w:rPr>
          <w:rStyle w:val="9"/>
          <w:rFonts w:ascii="黑体" w:hAnsi="黑体" w:eastAsia="黑体" w:cs="Tahoma"/>
          <w:bCs w:val="0"/>
          <w:sz w:val="30"/>
          <w:szCs w:val="30"/>
        </w:rPr>
      </w:pPr>
      <w:r>
        <w:rPr>
          <w:rStyle w:val="9"/>
          <w:rFonts w:hint="eastAsia" w:ascii="黑体" w:hAnsi="黑体" w:eastAsia="黑体"/>
          <w:color w:val="000000"/>
          <w:sz w:val="30"/>
          <w:szCs w:val="30"/>
        </w:rPr>
        <w:t xml:space="preserve">    一、</w:t>
      </w:r>
      <w:r>
        <w:rPr>
          <w:rFonts w:hint="eastAsia" w:ascii="黑体" w:hAnsi="黑体" w:eastAsia="黑体" w:cs="Tahoma"/>
          <w:sz w:val="30"/>
          <w:szCs w:val="30"/>
        </w:rPr>
        <w:t>部门机构设置、职能</w:t>
      </w:r>
    </w:p>
    <w:p>
      <w:pPr>
        <w:pStyle w:val="6"/>
        <w:snapToGrid w:val="0"/>
        <w:spacing w:before="0" w:beforeAutospacing="0" w:after="0" w:afterAutospacing="0" w:line="640" w:lineRule="exact"/>
        <w:ind w:firstLine="560"/>
        <w:rPr>
          <w:rFonts w:ascii="仿宋_GB2312" w:eastAsia="仿宋_GB2312" w:cs="Tahoma"/>
          <w:sz w:val="32"/>
          <w:szCs w:val="32"/>
        </w:rPr>
      </w:pPr>
      <w:r>
        <w:rPr>
          <w:rFonts w:hint="eastAsia" w:ascii="楷体" w:hAnsi="楷体" w:eastAsia="楷体" w:cs="楷体"/>
          <w:b/>
          <w:bCs/>
          <w:sz w:val="32"/>
          <w:szCs w:val="32"/>
        </w:rPr>
        <w:t>（一）主要职能</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1、负责指导全县的理论研究、理论学习、理论宣传工作。</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2、负责引导社会舆论，指导、协调新闻、出版等部门的工作；对文化广电旅游局、广播电视台的工作实施方针、政策的指导；负责上级新闻单位来舞记者的接待和采访。</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3、宏观指导精神产品的生产、文艺文化活动和文化市场管理；对县文联在政治方向和方针政策方面实施领导。</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4、在县精神文明建设指导委员会领导下，制定和实施全县的精神文明建设工作规划和意见，协调有关部门做好贯彻落实工作，具体负责对全县文明村镇、文明家庭、文明单位建设的检查、验收、表彰的目标分解、任务落实、组织检查。</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5、制定和实施全县对外宣传工作规划和意见，协调有关部门做好规划的贯彻落实工作；规划、协调和管理全县新闻网络工作。</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6、负责规划、部署全县思想政治工作任务和群众性的社会主义精神文明建设活动；配合有关部门做好党员教育工作，会同有关部门研究和改进群众思想教育工作。</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7、受县委委托，会同县委组织部管理县宣传文化部门的领导干部；指导县宣传文化部门领导班子建设；制订培训规划并组织对全县各级党委宣传干部和有关宣传文化系统领导干部的培训；配合有关部门做好宣传文化系统知识分子工作。</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8、贯彻中央、省、市关于宣传思想文化事业发展的指导方针，协调宣传文化广播系统的工作。</w:t>
      </w:r>
    </w:p>
    <w:p>
      <w:pPr>
        <w:pStyle w:val="6"/>
        <w:snapToGrid w:val="0"/>
        <w:spacing w:before="0" w:beforeAutospacing="0" w:after="0" w:afterAutospacing="0" w:line="640" w:lineRule="exact"/>
        <w:ind w:firstLine="560"/>
        <w:rPr>
          <w:rFonts w:ascii="仿宋_GB2312" w:eastAsia="仿宋_GB2312"/>
          <w:sz w:val="32"/>
          <w:szCs w:val="32"/>
        </w:rPr>
      </w:pPr>
      <w:r>
        <w:rPr>
          <w:rFonts w:hint="eastAsia" w:ascii="仿宋_GB2312" w:eastAsia="仿宋_GB2312"/>
          <w:sz w:val="32"/>
          <w:szCs w:val="32"/>
        </w:rPr>
        <w:t>9、承办县委交办的其他事项。</w:t>
      </w:r>
    </w:p>
    <w:p>
      <w:pPr>
        <w:pStyle w:val="6"/>
        <w:snapToGrid w:val="0"/>
        <w:spacing w:before="0" w:beforeAutospacing="0" w:after="0" w:afterAutospacing="0" w:line="640" w:lineRule="exact"/>
        <w:ind w:firstLine="960" w:firstLineChars="300"/>
        <w:rPr>
          <w:rFonts w:hint="eastAsia" w:ascii="方正楷体简体" w:eastAsia="方正楷体简体"/>
          <w:b/>
          <w:sz w:val="32"/>
          <w:szCs w:val="32"/>
        </w:rPr>
      </w:pPr>
      <w:r>
        <w:rPr>
          <w:rFonts w:hint="eastAsia" w:ascii="方正楷体简体" w:eastAsia="方正楷体简体"/>
          <w:b/>
          <w:sz w:val="32"/>
          <w:szCs w:val="32"/>
        </w:rPr>
        <w:t>机构设置：</w:t>
      </w:r>
    </w:p>
    <w:p>
      <w:pPr>
        <w:spacing w:line="640" w:lineRule="exact"/>
        <w:ind w:firstLine="640" w:firstLineChars="200"/>
        <w:rPr>
          <w:rFonts w:hint="eastAsia" w:ascii="方正楷体简体" w:hAnsi="宋体" w:eastAsia="方正楷体简体" w:cs="宋体"/>
          <w:b/>
          <w:kern w:val="0"/>
          <w:sz w:val="32"/>
          <w:szCs w:val="32"/>
          <w:lang w:eastAsia="zh-CN"/>
        </w:rPr>
      </w:pPr>
      <w:r>
        <w:rPr>
          <w:rFonts w:hint="eastAsia" w:ascii="方正楷体简体" w:eastAsia="方正楷体简体"/>
          <w:b/>
          <w:sz w:val="32"/>
          <w:szCs w:val="32"/>
          <w:lang w:val="en-US" w:eastAsia="zh-CN"/>
        </w:rPr>
        <w:t>内设3个股室：办公室、</w:t>
      </w:r>
      <w:r>
        <w:rPr>
          <w:rFonts w:hint="eastAsia" w:ascii="方正楷体简体" w:hAnsi="宋体" w:eastAsia="方正楷体简体" w:cs="宋体"/>
          <w:b/>
          <w:kern w:val="0"/>
          <w:sz w:val="32"/>
          <w:szCs w:val="32"/>
        </w:rPr>
        <w:t>社会宣传与新闻组</w:t>
      </w:r>
      <w:r>
        <w:rPr>
          <w:rFonts w:hint="eastAsia" w:ascii="方正楷体简体" w:eastAsia="方正楷体简体" w:cs="宋体"/>
          <w:b/>
          <w:kern w:val="0"/>
          <w:sz w:val="32"/>
          <w:szCs w:val="32"/>
          <w:lang w:eastAsia="zh-CN"/>
        </w:rPr>
        <w:t>、</w:t>
      </w:r>
      <w:r>
        <w:rPr>
          <w:rFonts w:hint="eastAsia" w:ascii="方正楷体简体" w:hAnsi="宋体" w:eastAsia="方正楷体简体" w:cs="宋体"/>
          <w:b/>
          <w:kern w:val="0"/>
          <w:sz w:val="32"/>
          <w:szCs w:val="32"/>
        </w:rPr>
        <w:t>理论与党员教育组</w:t>
      </w:r>
      <w:r>
        <w:rPr>
          <w:rFonts w:hint="eastAsia" w:ascii="方正楷体简体" w:eastAsia="方正楷体简体" w:cs="宋体"/>
          <w:b/>
          <w:kern w:val="0"/>
          <w:sz w:val="32"/>
          <w:szCs w:val="32"/>
          <w:lang w:eastAsia="zh-CN"/>
        </w:rPr>
        <w:t>。四个二机构：</w:t>
      </w:r>
      <w:r>
        <w:rPr>
          <w:rFonts w:hint="eastAsia" w:ascii="方正楷体简体" w:hAnsi="宋体" w:eastAsia="方正楷体简体" w:cs="宋体"/>
          <w:b/>
          <w:kern w:val="0"/>
          <w:sz w:val="32"/>
          <w:szCs w:val="32"/>
        </w:rPr>
        <w:t>舞阳县网络管理中心</w:t>
      </w:r>
      <w:r>
        <w:rPr>
          <w:rFonts w:hint="eastAsia" w:ascii="方正楷体简体" w:hAnsi="宋体" w:eastAsia="方正楷体简体" w:cs="宋体"/>
          <w:b/>
          <w:kern w:val="0"/>
          <w:sz w:val="32"/>
          <w:szCs w:val="32"/>
          <w:lang w:eastAsia="zh-CN"/>
        </w:rPr>
        <w:t>、</w:t>
      </w:r>
      <w:r>
        <w:rPr>
          <w:rFonts w:hint="eastAsia" w:ascii="方正楷体简体" w:hAnsi="宋体" w:eastAsia="方正楷体简体" w:cs="宋体"/>
          <w:b/>
          <w:kern w:val="0"/>
          <w:sz w:val="32"/>
          <w:szCs w:val="32"/>
        </w:rPr>
        <w:t>舞阳县委对外宣传办公室</w:t>
      </w:r>
      <w:r>
        <w:rPr>
          <w:rFonts w:hint="eastAsia" w:ascii="方正楷体简体" w:hAnsi="宋体" w:eastAsia="方正楷体简体" w:cs="宋体"/>
          <w:b/>
          <w:kern w:val="0"/>
          <w:sz w:val="32"/>
          <w:szCs w:val="32"/>
          <w:lang w:eastAsia="zh-CN"/>
        </w:rPr>
        <w:t>、</w:t>
      </w:r>
      <w:r>
        <w:rPr>
          <w:rFonts w:hint="eastAsia" w:ascii="方正楷体简体" w:hAnsi="宋体" w:eastAsia="方正楷体简体" w:cs="宋体"/>
          <w:b/>
          <w:kern w:val="0"/>
          <w:sz w:val="32"/>
          <w:szCs w:val="32"/>
        </w:rPr>
        <w:t>舞阳农民画院</w:t>
      </w:r>
      <w:r>
        <w:rPr>
          <w:rFonts w:hint="eastAsia" w:ascii="方正楷体简体" w:hAnsi="宋体" w:eastAsia="方正楷体简体" w:cs="宋体"/>
          <w:b/>
          <w:kern w:val="0"/>
          <w:sz w:val="32"/>
          <w:szCs w:val="32"/>
          <w:lang w:eastAsia="zh-CN"/>
        </w:rPr>
        <w:t>、舞</w:t>
      </w:r>
      <w:r>
        <w:rPr>
          <w:rFonts w:hint="eastAsia" w:ascii="方正楷体简体" w:hAnsi="宋体" w:eastAsia="方正楷体简体" w:cs="宋体"/>
          <w:b/>
          <w:kern w:val="0"/>
          <w:sz w:val="32"/>
          <w:szCs w:val="32"/>
        </w:rPr>
        <w:t>阳县网络管理中心</w:t>
      </w:r>
      <w:r>
        <w:rPr>
          <w:rFonts w:hint="eastAsia" w:ascii="方正楷体简体" w:hAnsi="宋体" w:eastAsia="方正楷体简体" w:cs="宋体"/>
          <w:b/>
          <w:kern w:val="0"/>
          <w:sz w:val="32"/>
          <w:szCs w:val="32"/>
          <w:lang w:eastAsia="zh-CN"/>
        </w:rPr>
        <w:t>。</w:t>
      </w:r>
    </w:p>
    <w:p>
      <w:pPr>
        <w:pStyle w:val="6"/>
        <w:snapToGrid w:val="0"/>
        <w:spacing w:before="0" w:beforeAutospacing="0" w:after="0" w:afterAutospacing="0" w:line="640" w:lineRule="exact"/>
        <w:ind w:firstLine="960" w:firstLineChars="300"/>
        <w:rPr>
          <w:rFonts w:ascii="仿宋_GB2312" w:hAnsi="Calibri" w:eastAsia="仿宋_GB2312" w:cs="Times New Roman"/>
          <w:kern w:val="2"/>
          <w:sz w:val="32"/>
          <w:szCs w:val="32"/>
        </w:rPr>
      </w:pPr>
      <w:r>
        <w:rPr>
          <w:rFonts w:hint="eastAsia" w:ascii="方正楷体简体" w:eastAsia="方正楷体简体"/>
          <w:b/>
          <w:sz w:val="32"/>
          <w:szCs w:val="32"/>
        </w:rPr>
        <w:t>办公室：</w:t>
      </w:r>
      <w:r>
        <w:rPr>
          <w:rFonts w:hint="eastAsia" w:ascii="仿宋_GB2312" w:hAnsi="Calibri" w:eastAsia="仿宋_GB2312" w:cs="Times New Roman"/>
          <w:kern w:val="2"/>
          <w:sz w:val="32"/>
          <w:szCs w:val="32"/>
        </w:rPr>
        <w:t>负责承上启下、协调内外；掌握工作动态，负责宣传信息的收集、整理、上报工作；负责机关文秘、档案、保密、会务及行政管理、后勤保障工作；根据授权，会同有关单位负责县直宣传战线各部门领导干部的管理和领导班子建设；负责全县宣传干部的培训工作、宣传战线知识分子工作和部机关干部管理工作。</w:t>
      </w:r>
    </w:p>
    <w:p>
      <w:pPr>
        <w:spacing w:line="640" w:lineRule="exact"/>
        <w:ind w:firstLine="640" w:firstLineChars="200"/>
        <w:rPr>
          <w:rFonts w:ascii="仿宋_GB2312" w:eastAsia="仿宋_GB2312"/>
          <w:sz w:val="32"/>
          <w:szCs w:val="32"/>
        </w:rPr>
      </w:pPr>
      <w:r>
        <w:rPr>
          <w:rFonts w:hint="eastAsia" w:ascii="方正楷体简体" w:hAnsi="宋体" w:eastAsia="方正楷体简体" w:cs="宋体"/>
          <w:b/>
          <w:kern w:val="0"/>
          <w:sz w:val="32"/>
          <w:szCs w:val="32"/>
        </w:rPr>
        <w:t>社会宣传与新闻组：</w:t>
      </w:r>
      <w:r>
        <w:rPr>
          <w:rFonts w:hint="eastAsia" w:ascii="仿宋_GB2312" w:eastAsia="仿宋_GB2312"/>
          <w:sz w:val="32"/>
          <w:szCs w:val="32"/>
        </w:rPr>
        <w:t>负责党的大政方针政策的宣传工作，把握舆论导向；负责规划、部署全县城乡政治工作和社会、跨行业的宣传思想工作，组织编发宣传材料；负责对文化艺术事业进行宏观指导和协调，负责与政府有关文化艺术部门和文联的业务联系，协助有关部门加强对文艺表演团体的管理，指导县文化市场管理工作，统筹规划全县对外宣传工作；协调宣传文化系统各部门的工作；负责新闻舆论导向和新闻队伍建设方面的业务工作；做好记者接待和通联工作，协调市以上新闻单位驻舞记者站的工作。</w:t>
      </w:r>
    </w:p>
    <w:p>
      <w:pPr>
        <w:spacing w:line="640" w:lineRule="exact"/>
        <w:ind w:firstLine="640" w:firstLineChars="200"/>
        <w:rPr>
          <w:rFonts w:ascii="仿宋_GB2312" w:eastAsia="仿宋_GB2312"/>
          <w:sz w:val="32"/>
          <w:szCs w:val="32"/>
        </w:rPr>
      </w:pPr>
      <w:r>
        <w:rPr>
          <w:rFonts w:hint="eastAsia" w:ascii="方正楷体简体" w:hAnsi="宋体" w:eastAsia="方正楷体简体" w:cs="宋体"/>
          <w:b/>
          <w:kern w:val="0"/>
          <w:sz w:val="32"/>
          <w:szCs w:val="32"/>
        </w:rPr>
        <w:t>理论与党员教育组：</w:t>
      </w:r>
      <w:r>
        <w:rPr>
          <w:rFonts w:hint="eastAsia" w:ascii="仿宋_GB2312" w:eastAsia="仿宋_GB2312"/>
          <w:sz w:val="32"/>
          <w:szCs w:val="32"/>
        </w:rPr>
        <w:t>负责对全县党员进行党的基本理论、路线、方针、政策教育和形势教育；编审党员教育教材；抓好党员先进典型的宣传；负责理论学习、理论研究、理论宣传和理论队伍建设方面的业务工作。</w:t>
      </w:r>
    </w:p>
    <w:p>
      <w:pPr>
        <w:pStyle w:val="6"/>
        <w:snapToGrid w:val="0"/>
        <w:spacing w:before="0" w:beforeAutospacing="0" w:after="0" w:afterAutospacing="0" w:line="640" w:lineRule="exact"/>
        <w:ind w:firstLine="560"/>
        <w:rPr>
          <w:rFonts w:ascii="楷体" w:hAnsi="楷体" w:eastAsia="楷体" w:cs="楷体"/>
          <w:b/>
          <w:bCs/>
          <w:sz w:val="32"/>
          <w:szCs w:val="32"/>
        </w:rPr>
      </w:pPr>
      <w:r>
        <w:rPr>
          <w:rFonts w:hint="eastAsia" w:ascii="楷体" w:hAnsi="楷体" w:eastAsia="楷体" w:cs="楷体"/>
          <w:b/>
          <w:bCs/>
          <w:sz w:val="32"/>
          <w:szCs w:val="32"/>
        </w:rPr>
        <w:t>（二）部门预算单位构成</w:t>
      </w:r>
    </w:p>
    <w:p>
      <w:pPr>
        <w:spacing w:line="640" w:lineRule="exact"/>
        <w:ind w:firstLine="640" w:firstLineChars="200"/>
        <w:rPr>
          <w:rFonts w:ascii="方正楷体简体" w:hAnsi="宋体" w:eastAsia="方正楷体简体" w:cs="宋体"/>
          <w:b/>
          <w:kern w:val="0"/>
          <w:sz w:val="32"/>
          <w:szCs w:val="32"/>
        </w:rPr>
      </w:pPr>
      <w:r>
        <w:rPr>
          <w:rFonts w:hint="eastAsia" w:ascii="方正楷体简体" w:hAnsi="宋体" w:eastAsia="方正楷体简体" w:cs="宋体"/>
          <w:b/>
          <w:kern w:val="0"/>
          <w:sz w:val="32"/>
          <w:szCs w:val="32"/>
        </w:rPr>
        <w:t>舞阳县网络管理中心</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组织开展互联网新闻宣传管理工作，开发有关新闻宣传的重点信息资源，组织开展网上评论工作；负责向“新华网”、“中国河南”等国内知名新闻网站发送有关舞阳新闻稿件的审核把关；组织搜索国际互联网重要信息，为县领导和有关部门提供国际舆情及有关舞阳信息；会同有关部门对全县各网站实施监控，抵制、堵塞互联网上有害信息的传播和渗透，发现问题及时上报处理。</w:t>
      </w:r>
    </w:p>
    <w:p>
      <w:pPr>
        <w:spacing w:line="640" w:lineRule="exact"/>
        <w:ind w:firstLine="640" w:firstLineChars="200"/>
        <w:rPr>
          <w:rFonts w:ascii="方正楷体简体" w:hAnsi="宋体" w:eastAsia="方正楷体简体" w:cs="宋体"/>
          <w:b/>
          <w:kern w:val="0"/>
          <w:sz w:val="32"/>
          <w:szCs w:val="32"/>
        </w:rPr>
      </w:pPr>
      <w:r>
        <w:rPr>
          <w:rFonts w:hint="eastAsia" w:ascii="方正楷体简体" w:hAnsi="宋体" w:eastAsia="方正楷体简体" w:cs="宋体"/>
          <w:b/>
          <w:kern w:val="0"/>
          <w:sz w:val="32"/>
          <w:szCs w:val="32"/>
        </w:rPr>
        <w:t>舞阳县委对外宣传办公室</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研究和拟定全县对外宣传工作的规划和意见，并组织实施；指导并协调全县各部门、各乡镇对外、对台、对港澳的宣传工作；负责县委、县政府重要涉外活动和我县重大新闻事件的对外宣传和对外发布工作；协调全县做好外国记者、港澳台记者来舞采访报道工作；承办市委外宣办、市政府新闻办、县委、县政府交办的其他任务。</w:t>
      </w:r>
    </w:p>
    <w:p>
      <w:pPr>
        <w:spacing w:line="640" w:lineRule="exact"/>
        <w:ind w:firstLine="640" w:firstLineChars="200"/>
        <w:rPr>
          <w:rFonts w:ascii="方正楷体简体" w:hAnsi="宋体" w:eastAsia="方正楷体简体" w:cs="宋体"/>
          <w:b/>
          <w:kern w:val="0"/>
          <w:sz w:val="32"/>
          <w:szCs w:val="32"/>
        </w:rPr>
      </w:pPr>
      <w:r>
        <w:rPr>
          <w:rFonts w:hint="eastAsia" w:ascii="方正楷体简体" w:hAnsi="宋体" w:eastAsia="方正楷体简体" w:cs="宋体"/>
          <w:b/>
          <w:kern w:val="0"/>
          <w:sz w:val="32"/>
          <w:szCs w:val="32"/>
        </w:rPr>
        <w:t>舞阳农民画院</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指导、组织、协调、推动舞阳农民画品牌化、市场化、产业化发展；在实践中探索农民画的艺术特征、发展规律，促进舞阳农民画艺术创作和理论的繁荣和发展；集中力量不断推出新作，向上级主办的展评、展览和国外文化交流推荐高质量的作品；对全县其他农民画组织进行业务指导，组织开展各类农民画艺术培训、教育活动，培养农民画艺术人才；负责农民画院的日常管理、参观、学习的接待工作；负责收藏古今农民画优秀作品，收藏农民画研究资料及文献。</w:t>
      </w:r>
    </w:p>
    <w:p>
      <w:pPr>
        <w:spacing w:line="640" w:lineRule="exact"/>
        <w:ind w:firstLine="640" w:firstLineChars="200"/>
        <w:rPr>
          <w:rFonts w:ascii="方正楷体简体" w:hAnsi="宋体" w:eastAsia="方正楷体简体" w:cs="宋体"/>
          <w:b/>
          <w:kern w:val="0"/>
          <w:sz w:val="32"/>
          <w:szCs w:val="32"/>
        </w:rPr>
      </w:pPr>
      <w:r>
        <w:rPr>
          <w:rFonts w:hint="eastAsia" w:ascii="方正楷体简体" w:hAnsi="宋体" w:eastAsia="方正楷体简体" w:cs="宋体"/>
          <w:b/>
          <w:kern w:val="0"/>
          <w:sz w:val="32"/>
          <w:szCs w:val="32"/>
        </w:rPr>
        <w:t>舞阳县宣传文化中心</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以全县的经济建设为中心，积极宣传贯彻党和政府的路线、方针、政策；组织和举办群众性文艺活动，活跃群众文化生活；辅导业余文艺团队，培养宣传文化骨干；发挥窗口作用，展示好我县经济文化发展的新局面；在坚持社会效益的前提下，适当举办各种有偿服务项目，以提高自我发展能力；承办县委宣传部交办的其它工作任务。</w:t>
      </w:r>
    </w:p>
    <w:p>
      <w:pPr>
        <w:pStyle w:val="6"/>
        <w:snapToGrid w:val="0"/>
        <w:spacing w:before="0" w:beforeAutospacing="0" w:after="0" w:afterAutospacing="0" w:line="640" w:lineRule="exact"/>
        <w:ind w:firstLine="560"/>
        <w:rPr>
          <w:rFonts w:hint="eastAsia" w:ascii="仿宋_GB2312" w:hAnsi="Calibri" w:eastAsia="仿宋_GB2312" w:cs="Times New Roman"/>
          <w:kern w:val="2"/>
          <w:sz w:val="32"/>
          <w:szCs w:val="32"/>
          <w:lang w:eastAsia="zh-CN"/>
        </w:rPr>
      </w:pPr>
      <w:r>
        <w:rPr>
          <w:rFonts w:hint="eastAsia" w:ascii="仿宋_GB2312" w:hAnsi="Calibri" w:eastAsia="仿宋_GB2312" w:cs="Times New Roman"/>
          <w:kern w:val="2"/>
          <w:sz w:val="32"/>
          <w:szCs w:val="32"/>
        </w:rPr>
        <w:t>舞阳县委宣传部作为县财政拨款的一级预算单位</w:t>
      </w:r>
      <w:r>
        <w:rPr>
          <w:rFonts w:hint="eastAsia" w:ascii="仿宋_GB2312" w:hAnsi="Calibri" w:eastAsia="仿宋_GB2312" w:cs="Times New Roman"/>
          <w:kern w:val="2"/>
          <w:sz w:val="32"/>
          <w:szCs w:val="32"/>
          <w:lang w:eastAsia="zh-CN"/>
        </w:rPr>
        <w:t>，</w:t>
      </w:r>
      <w:r>
        <w:rPr>
          <w:rFonts w:hint="eastAsia" w:ascii="仿宋_GB2312" w:hAnsi="Calibri" w:eastAsia="仿宋_GB2312" w:cs="Times New Roman"/>
          <w:kern w:val="2"/>
          <w:sz w:val="32"/>
          <w:szCs w:val="32"/>
        </w:rPr>
        <w:t>部门预算由 1个预算单位组成。具体为：中共舞阳县委宣传部本级</w:t>
      </w:r>
      <w:r>
        <w:rPr>
          <w:rFonts w:hint="eastAsia" w:ascii="仿宋_GB2312" w:hAnsi="Calibri" w:eastAsia="仿宋_GB2312" w:cs="Times New Roman"/>
          <w:kern w:val="2"/>
          <w:sz w:val="32"/>
          <w:szCs w:val="32"/>
          <w:lang w:eastAsia="zh-CN"/>
        </w:rPr>
        <w:t>（包含</w:t>
      </w:r>
      <w:r>
        <w:rPr>
          <w:rFonts w:hint="eastAsia" w:ascii="仿宋_GB2312" w:hAnsi="Calibri" w:eastAsia="仿宋_GB2312" w:cs="Times New Roman"/>
          <w:kern w:val="2"/>
          <w:sz w:val="32"/>
          <w:szCs w:val="32"/>
          <w:lang w:val="en-US" w:eastAsia="zh-CN"/>
        </w:rPr>
        <w:t>内设3个股室和</w:t>
      </w:r>
      <w:r>
        <w:rPr>
          <w:rFonts w:hint="eastAsia" w:ascii="仿宋_GB2312" w:hAnsi="Calibri" w:eastAsia="仿宋_GB2312" w:cs="Times New Roman"/>
          <w:kern w:val="2"/>
          <w:sz w:val="32"/>
          <w:szCs w:val="32"/>
          <w:lang w:eastAsia="zh-CN"/>
        </w:rPr>
        <w:t>四个二机构）</w:t>
      </w:r>
      <w:r>
        <w:rPr>
          <w:rFonts w:hint="eastAsia" w:ascii="仿宋_GB2312" w:hAnsi="Calibri" w:eastAsia="仿宋_GB2312" w:cs="Times New Roman"/>
          <w:kern w:val="2"/>
          <w:sz w:val="32"/>
          <w:szCs w:val="32"/>
        </w:rPr>
        <w:t>。</w:t>
      </w:r>
    </w:p>
    <w:p>
      <w:pPr>
        <w:pStyle w:val="6"/>
        <w:snapToGrid w:val="0"/>
        <w:spacing w:before="0" w:beforeAutospacing="0" w:after="0" w:afterAutospacing="0" w:line="640" w:lineRule="exact"/>
        <w:ind w:firstLine="560"/>
        <w:rPr>
          <w:rFonts w:ascii="楷体" w:hAnsi="楷体" w:eastAsia="楷体" w:cs="楷体"/>
          <w:b/>
          <w:bCs/>
          <w:sz w:val="32"/>
          <w:szCs w:val="32"/>
        </w:rPr>
      </w:pPr>
      <w:r>
        <w:rPr>
          <w:rFonts w:hint="eastAsia" w:ascii="楷体" w:hAnsi="楷体" w:eastAsia="楷体" w:cs="楷体"/>
          <w:b/>
          <w:bCs/>
          <w:sz w:val="32"/>
          <w:szCs w:val="32"/>
        </w:rPr>
        <w:t>（三）人员构成情况</w:t>
      </w:r>
    </w:p>
    <w:p>
      <w:pPr>
        <w:pStyle w:val="6"/>
        <w:snapToGrid w:val="0"/>
        <w:spacing w:before="0" w:beforeAutospacing="0" w:after="0" w:afterAutospacing="0" w:line="640" w:lineRule="exact"/>
        <w:ind w:firstLine="560"/>
        <w:rPr>
          <w:rFonts w:ascii="仿宋_GB2312" w:eastAsia="仿宋_GB2312" w:cs="Tahoma"/>
          <w:sz w:val="32"/>
          <w:szCs w:val="32"/>
        </w:rPr>
      </w:pPr>
      <w:r>
        <w:rPr>
          <w:rFonts w:hint="eastAsia" w:ascii="仿宋_GB2312" w:eastAsia="仿宋_GB2312" w:cs="Tahoma"/>
          <w:sz w:val="32"/>
          <w:szCs w:val="32"/>
        </w:rPr>
        <w:t>县委宣传部核定行政编制12名，事业编制17名，机关工勤事业编制2名。机关在职人员23人，退休人员1人。</w:t>
      </w:r>
    </w:p>
    <w:p>
      <w:pPr>
        <w:pStyle w:val="6"/>
        <w:snapToGrid w:val="0"/>
        <w:spacing w:before="0" w:beforeAutospacing="0" w:after="0" w:afterAutospacing="0" w:line="600" w:lineRule="exact"/>
        <w:jc w:val="center"/>
        <w:rPr>
          <w:rFonts w:ascii="黑体" w:hAnsi="黑体" w:eastAsia="黑体" w:cs="Tahoma"/>
          <w:sz w:val="30"/>
          <w:szCs w:val="30"/>
        </w:rPr>
      </w:pPr>
      <w:r>
        <w:rPr>
          <w:rFonts w:hint="eastAsia" w:ascii="黑体" w:hAnsi="黑体" w:eastAsia="黑体" w:cs="Tahoma"/>
          <w:sz w:val="30"/>
          <w:szCs w:val="30"/>
        </w:rPr>
        <w:t>第二部分 2020年度部门预算情况说明</w:t>
      </w:r>
    </w:p>
    <w:p>
      <w:pPr>
        <w:pStyle w:val="6"/>
        <w:snapToGrid w:val="0"/>
        <w:spacing w:before="0" w:beforeAutospacing="0" w:after="0" w:afterAutospacing="0" w:line="640" w:lineRule="exact"/>
        <w:ind w:firstLine="560"/>
        <w:rPr>
          <w:rFonts w:ascii="仿宋_GB2312" w:eastAsia="仿宋_GB2312" w:cs="Tahoma"/>
          <w:sz w:val="32"/>
          <w:szCs w:val="32"/>
        </w:rPr>
      </w:pPr>
      <w:r>
        <w:rPr>
          <w:rFonts w:hint="eastAsia" w:ascii="仿宋_GB2312" w:eastAsia="仿宋_GB2312" w:cs="Tahoma"/>
          <w:sz w:val="32"/>
          <w:szCs w:val="32"/>
        </w:rPr>
        <w:t>2019年部门预算主要任务是：以习近平新时代中国特色社会主义思想为指引，紧紧围绕学习宣传贯彻党的</w:t>
      </w:r>
      <w:r>
        <w:fldChar w:fldCharType="begin"/>
      </w:r>
      <w:r>
        <w:instrText xml:space="preserve"> HYPERLINK "http://www.wm114.cn/0v/120/index.html" </w:instrText>
      </w:r>
      <w:r>
        <w:fldChar w:fldCharType="separate"/>
      </w:r>
      <w:r>
        <w:rPr>
          <w:rFonts w:hint="eastAsia" w:ascii="仿宋_GB2312" w:eastAsia="仿宋_GB2312" w:cs="Tahoma"/>
          <w:sz w:val="32"/>
          <w:szCs w:val="32"/>
        </w:rPr>
        <w:t>十九大</w:t>
      </w:r>
      <w:r>
        <w:rPr>
          <w:rFonts w:hint="eastAsia" w:ascii="仿宋_GB2312" w:eastAsia="仿宋_GB2312" w:cs="Tahoma"/>
          <w:sz w:val="32"/>
          <w:szCs w:val="32"/>
        </w:rPr>
        <w:fldChar w:fldCharType="end"/>
      </w:r>
      <w:r>
        <w:rPr>
          <w:rFonts w:hint="eastAsia" w:ascii="仿宋_GB2312" w:eastAsia="仿宋_GB2312" w:cs="Tahoma"/>
          <w:sz w:val="32"/>
          <w:szCs w:val="32"/>
        </w:rPr>
        <w:t>精神，紧紧围绕围绕提升</w:t>
      </w:r>
      <w:r>
        <w:fldChar w:fldCharType="begin"/>
      </w:r>
      <w:r>
        <w:instrText xml:space="preserve"> HYPERLINK "http://www.wm114.cn/wen/179/357002.html" </w:instrText>
      </w:r>
      <w:r>
        <w:fldChar w:fldCharType="separate"/>
      </w:r>
      <w:r>
        <w:rPr>
          <w:rFonts w:hint="eastAsia" w:ascii="仿宋_GB2312" w:eastAsia="仿宋_GB2312" w:cs="Tahoma"/>
        </w:rPr>
        <w:t>思想政治工作</w:t>
      </w:r>
      <w:r>
        <w:rPr>
          <w:rFonts w:hint="eastAsia" w:ascii="仿宋_GB2312" w:eastAsia="仿宋_GB2312" w:cs="Tahoma"/>
        </w:rPr>
        <w:fldChar w:fldCharType="end"/>
      </w:r>
      <w:r>
        <w:rPr>
          <w:rFonts w:hint="eastAsia" w:ascii="仿宋_GB2312" w:eastAsia="仿宋_GB2312" w:cs="Tahoma"/>
          <w:sz w:val="32"/>
          <w:szCs w:val="32"/>
        </w:rPr>
        <w:t>实效，增强“四个意识”，坚定“四个自信”，坚持正确政治方向，坚持守正创新，强化意识形态阵地建设，铸牢精神文明工作根基，用更响亮的主旋律、更强劲的正能量，激励全县上下奋进新时代、开启新征程。</w:t>
      </w:r>
    </w:p>
    <w:p>
      <w:pPr>
        <w:spacing w:line="620" w:lineRule="exact"/>
        <w:ind w:firstLine="600" w:firstLineChars="200"/>
        <w:rPr>
          <w:rFonts w:ascii="黑体" w:hAnsi="黑体" w:eastAsia="黑体" w:cs="宋体"/>
          <w:color w:val="333333"/>
          <w:sz w:val="30"/>
          <w:szCs w:val="30"/>
          <w:shd w:val="clear" w:color="auto" w:fill="FFFFFF"/>
        </w:rPr>
      </w:pPr>
      <w:r>
        <w:rPr>
          <w:rFonts w:hint="eastAsia" w:ascii="黑体" w:hAnsi="黑体" w:eastAsia="黑体" w:cs="宋体"/>
          <w:color w:val="333333"/>
          <w:sz w:val="30"/>
          <w:szCs w:val="30"/>
          <w:shd w:val="clear" w:color="auto" w:fill="FFFFFF"/>
        </w:rPr>
        <w:t>一、收入支出预算总体情况说明</w:t>
      </w:r>
    </w:p>
    <w:p>
      <w:pPr>
        <w:spacing w:line="620" w:lineRule="exact"/>
        <w:ind w:firstLine="640" w:firstLineChars="200"/>
        <w:rPr>
          <w:rFonts w:ascii="仿宋_GB2312" w:eastAsia="仿宋_GB2312" w:cs="宋体" w:hAnsiTheme="minorEastAsia"/>
          <w:color w:val="333333"/>
          <w:sz w:val="30"/>
          <w:szCs w:val="30"/>
          <w:shd w:val="clear" w:color="auto" w:fill="FFFFFF"/>
        </w:rPr>
      </w:pPr>
      <w:r>
        <w:rPr>
          <w:rFonts w:hint="eastAsia" w:ascii="仿宋_GB2312" w:hAnsi="宋体" w:eastAsia="仿宋_GB2312" w:cs="Tahoma"/>
          <w:kern w:val="0"/>
          <w:sz w:val="32"/>
          <w:szCs w:val="32"/>
        </w:rPr>
        <w:t>2020年收入总计474.7万元，支出总计474.7万元，与2019年相比（348.6万元），收入、支出总计各增加</w:t>
      </w:r>
      <w:r>
        <w:rPr>
          <w:rFonts w:hint="eastAsia" w:cs="Tahoma"/>
          <w:sz w:val="28"/>
          <w:szCs w:val="28"/>
        </w:rPr>
        <w:t>126.1万元，增加26.56%。</w:t>
      </w:r>
      <w:r>
        <w:rPr>
          <w:rFonts w:hint="eastAsia" w:ascii="仿宋_GB2312" w:hAnsi="宋体" w:eastAsia="仿宋_GB2312" w:cs="Tahoma"/>
          <w:kern w:val="0"/>
          <w:sz w:val="32"/>
          <w:szCs w:val="32"/>
        </w:rPr>
        <w:t>主要原因是机构改革，人员调整。</w:t>
      </w:r>
    </w:p>
    <w:p>
      <w:pPr>
        <w:spacing w:line="620" w:lineRule="exact"/>
        <w:ind w:firstLine="600" w:firstLineChars="200"/>
        <w:rPr>
          <w:rFonts w:ascii="黑体" w:hAnsi="黑体" w:eastAsia="黑体" w:cs="宋体"/>
          <w:color w:val="333333"/>
          <w:sz w:val="30"/>
          <w:szCs w:val="30"/>
          <w:shd w:val="clear" w:color="auto" w:fill="FFFFFF"/>
        </w:rPr>
      </w:pPr>
      <w:r>
        <w:rPr>
          <w:rFonts w:hint="eastAsia" w:ascii="黑体" w:hAnsi="黑体" w:eastAsia="黑体" w:cs="宋体"/>
          <w:color w:val="333333"/>
          <w:sz w:val="30"/>
          <w:szCs w:val="30"/>
          <w:shd w:val="clear" w:color="auto" w:fill="FFFFFF"/>
        </w:rPr>
        <w:t>二、收入预算说明</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2020年收入预算474.7万元，其中：2019年部门预算结转0万元，财政拨款收入474.7万元，罚没收入0万元，纳入预算管理的行政事业性收费收入0万元，专项收入0万元，国有资源（资产）有偿使用收入0万元，捐赠收入、政府住房基金收入及其他收入0万元，政府性基金收入0万元，财政专户管理的资金收入0万元，中央省专项转移支付0万元，其他各项收入0万元。</w:t>
      </w:r>
    </w:p>
    <w:p>
      <w:pPr>
        <w:spacing w:line="620" w:lineRule="exact"/>
        <w:ind w:firstLine="600" w:firstLineChars="200"/>
        <w:rPr>
          <w:rFonts w:ascii="黑体" w:hAnsi="黑体" w:eastAsia="黑体" w:cs="宋体"/>
          <w:sz w:val="30"/>
          <w:szCs w:val="30"/>
        </w:rPr>
      </w:pPr>
      <w:r>
        <w:rPr>
          <w:rFonts w:hint="eastAsia" w:ascii="黑体" w:hAnsi="黑体" w:eastAsia="黑体" w:cs="宋体"/>
          <w:color w:val="333333"/>
          <w:sz w:val="30"/>
          <w:szCs w:val="30"/>
          <w:shd w:val="clear" w:color="auto" w:fill="FFFFFF"/>
        </w:rPr>
        <w:t>三、支出预算总体情况说明</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2020年支出预算474.7万元，其中：基本支出245.9万元，占51.8 %；项目支出228.8万元，占48.2 %。</w:t>
      </w:r>
    </w:p>
    <w:p>
      <w:pPr>
        <w:pStyle w:val="6"/>
        <w:snapToGrid w:val="0"/>
        <w:spacing w:before="0" w:beforeAutospacing="0" w:after="0" w:afterAutospacing="0" w:line="600" w:lineRule="exact"/>
        <w:ind w:firstLine="600" w:firstLineChars="200"/>
        <w:rPr>
          <w:rFonts w:ascii="黑体" w:hAnsi="黑体" w:eastAsia="黑体"/>
          <w:sz w:val="30"/>
          <w:szCs w:val="30"/>
        </w:rPr>
      </w:pPr>
      <w:r>
        <w:rPr>
          <w:rFonts w:hint="eastAsia" w:ascii="黑体" w:hAnsi="黑体" w:eastAsia="黑体"/>
          <w:color w:val="333333"/>
          <w:sz w:val="30"/>
          <w:szCs w:val="30"/>
          <w:shd w:val="clear" w:color="auto" w:fill="FFFFFF"/>
        </w:rPr>
        <w:t>四、财政拨款收入支出预算总体情况说明</w:t>
      </w:r>
    </w:p>
    <w:p>
      <w:pPr>
        <w:spacing w:line="640" w:lineRule="exact"/>
        <w:ind w:firstLine="640" w:firstLineChars="200"/>
        <w:jc w:val="left"/>
        <w:rPr>
          <w:rFonts w:hint="eastAsia" w:cs="Tahoma"/>
          <w:sz w:val="28"/>
          <w:szCs w:val="28"/>
        </w:rPr>
      </w:pPr>
      <w:r>
        <w:rPr>
          <w:rFonts w:hint="eastAsia" w:ascii="仿宋_GB2312" w:hAnsi="宋体" w:eastAsia="仿宋_GB2312" w:cs="Tahoma"/>
          <w:kern w:val="0"/>
          <w:sz w:val="32"/>
          <w:szCs w:val="32"/>
        </w:rPr>
        <w:t>2020年一般公共预算收支预算474.7万元。与2019年相比（348.6万元），增加</w:t>
      </w:r>
      <w:r>
        <w:rPr>
          <w:rFonts w:hint="eastAsia" w:cs="Tahoma"/>
          <w:sz w:val="28"/>
          <w:szCs w:val="28"/>
        </w:rPr>
        <w:t>126.1万元，增加26.56%。</w:t>
      </w:r>
      <w:r>
        <w:rPr>
          <w:rFonts w:hint="eastAsia" w:ascii="仿宋_GB2312" w:hAnsi="宋体" w:eastAsia="仿宋_GB2312" w:cs="Tahoma"/>
          <w:kern w:val="0"/>
          <w:sz w:val="32"/>
          <w:szCs w:val="32"/>
        </w:rPr>
        <w:t>主要原因是机构改革，人员调整。</w:t>
      </w:r>
    </w:p>
    <w:p>
      <w:pPr>
        <w:spacing w:line="640" w:lineRule="exact"/>
        <w:ind w:firstLine="600" w:firstLineChars="200"/>
        <w:jc w:val="left"/>
        <w:rPr>
          <w:rFonts w:ascii="黑体" w:hAnsi="黑体" w:eastAsia="黑体"/>
          <w:sz w:val="30"/>
          <w:szCs w:val="30"/>
        </w:rPr>
      </w:pPr>
      <w:r>
        <w:rPr>
          <w:rFonts w:hint="eastAsia" w:ascii="黑体" w:hAnsi="黑体" w:eastAsia="黑体"/>
          <w:color w:val="333333"/>
          <w:sz w:val="30"/>
          <w:szCs w:val="30"/>
          <w:shd w:val="clear" w:color="auto" w:fill="FFFFFF"/>
        </w:rPr>
        <w:t>五、一般公共预算支出预算情况说明</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2020年一般公共预算支出年初预算为474.7万元。主要用于以下方面：行政运行（类）支出341.8万元，占年初预算72%；一般行政管理事务（类）82.1万元，占年初预算17.3%；</w:t>
      </w:r>
      <w:r>
        <w:rPr>
          <w:rFonts w:hint="eastAsia" w:cs="Tahoma"/>
          <w:sz w:val="28"/>
          <w:szCs w:val="28"/>
        </w:rPr>
        <w:t>社会保障和就业支出32.5万元，占年初预算6.9 %；住房保障（类）支出16.3万元，占年初预算3.4%；其他支出2万，占年初预算0.4%。</w:t>
      </w:r>
    </w:p>
    <w:p>
      <w:pPr>
        <w:pStyle w:val="6"/>
        <w:snapToGrid w:val="0"/>
        <w:spacing w:before="0" w:beforeAutospacing="0" w:after="0" w:afterAutospacing="0" w:line="600" w:lineRule="exact"/>
        <w:ind w:firstLine="600" w:firstLineChars="200"/>
        <w:rPr>
          <w:rFonts w:cs="Tahoma"/>
          <w:b/>
          <w:sz w:val="30"/>
          <w:szCs w:val="30"/>
        </w:rPr>
      </w:pPr>
      <w:r>
        <w:rPr>
          <w:rFonts w:hint="eastAsia" w:ascii="黑体" w:hAnsi="黑体" w:eastAsia="黑体"/>
          <w:color w:val="333333"/>
          <w:sz w:val="30"/>
          <w:szCs w:val="30"/>
          <w:shd w:val="clear" w:color="auto" w:fill="FFFFFF"/>
        </w:rPr>
        <w:t>六、一般公共预算基本支出预算情况说明</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2020年一般公共预算基本支出</w:t>
      </w:r>
      <w:r>
        <w:rPr>
          <w:rFonts w:hint="eastAsia" w:ascii="仿宋_GB2312" w:hAnsi="宋体" w:eastAsia="仿宋_GB2312" w:cs="Tahoma"/>
          <w:kern w:val="0"/>
          <w:sz w:val="32"/>
          <w:szCs w:val="32"/>
          <w:lang w:val="en-US" w:eastAsia="zh-CN"/>
        </w:rPr>
        <w:t>474.7</w:t>
      </w:r>
      <w:r>
        <w:rPr>
          <w:rFonts w:hint="eastAsia" w:ascii="仿宋_GB2312" w:hAnsi="宋体" w:eastAsia="仿宋_GB2312" w:cs="Tahoma"/>
          <w:kern w:val="0"/>
          <w:sz w:val="32"/>
          <w:szCs w:val="32"/>
        </w:rPr>
        <w:t>万元，其中：人员经费</w:t>
      </w:r>
      <w:r>
        <w:rPr>
          <w:rFonts w:hint="eastAsia" w:ascii="仿宋_GB2312" w:hAnsi="宋体" w:eastAsia="仿宋_GB2312" w:cs="Tahoma"/>
          <w:kern w:val="0"/>
          <w:sz w:val="32"/>
          <w:szCs w:val="32"/>
          <w:lang w:val="en-US" w:eastAsia="zh-CN"/>
        </w:rPr>
        <w:t>264.4</w:t>
      </w:r>
      <w:r>
        <w:rPr>
          <w:rFonts w:hint="eastAsia" w:ascii="仿宋_GB2312" w:hAnsi="宋体" w:eastAsia="仿宋_GB2312" w:cs="Tahoma"/>
          <w:kern w:val="0"/>
          <w:sz w:val="32"/>
          <w:szCs w:val="32"/>
        </w:rPr>
        <w:t>万元，主要包括：基本工资、津贴补贴、奖金、社会保障缴费、绩效工资、离休费、退休费、遗属补助、住房公积金等；公用经费</w:t>
      </w:r>
      <w:r>
        <w:rPr>
          <w:rFonts w:hint="eastAsia" w:ascii="仿宋_GB2312" w:hAnsi="宋体" w:eastAsia="仿宋_GB2312" w:cs="Tahoma"/>
          <w:kern w:val="0"/>
          <w:sz w:val="32"/>
          <w:szCs w:val="32"/>
          <w:lang w:val="en-US" w:eastAsia="zh-CN"/>
        </w:rPr>
        <w:t>210.3</w:t>
      </w:r>
      <w:r>
        <w:rPr>
          <w:rFonts w:hint="eastAsia" w:ascii="仿宋_GB2312" w:hAnsi="宋体" w:eastAsia="仿宋_GB2312" w:cs="Tahoma"/>
          <w:kern w:val="0"/>
          <w:sz w:val="32"/>
          <w:szCs w:val="32"/>
        </w:rPr>
        <w:t>万元，主要包括：办公费、印刷费、手续费、邮电费、差旅费、维修（护）费、租赁费、会议费、培训费、专用材料费、公务用车运行维护费、其他交通费用等。</w:t>
      </w:r>
    </w:p>
    <w:p>
      <w:pPr>
        <w:spacing w:line="620" w:lineRule="exact"/>
        <w:ind w:firstLine="600" w:firstLineChars="200"/>
        <w:rPr>
          <w:rFonts w:ascii="黑体" w:hAnsi="黑体" w:eastAsia="黑体" w:cs="宋体"/>
          <w:color w:val="333333"/>
          <w:sz w:val="30"/>
          <w:szCs w:val="30"/>
          <w:shd w:val="clear" w:color="auto" w:fill="FFFFFF"/>
        </w:rPr>
      </w:pPr>
      <w:r>
        <w:rPr>
          <w:rFonts w:hint="eastAsia" w:ascii="黑体" w:hAnsi="黑体" w:eastAsia="黑体" w:cs="宋体"/>
          <w:color w:val="333333"/>
          <w:sz w:val="30"/>
          <w:szCs w:val="30"/>
          <w:shd w:val="clear" w:color="auto" w:fill="FFFFFF"/>
        </w:rPr>
        <w:t>七、政府性基金预算支出情况说明</w:t>
      </w:r>
    </w:p>
    <w:p>
      <w:pPr>
        <w:spacing w:line="620" w:lineRule="exact"/>
        <w:ind w:firstLine="640" w:firstLineChars="200"/>
        <w:rPr>
          <w:rFonts w:ascii="仿宋_GB2312" w:eastAsia="仿宋_GB2312" w:cs="宋体" w:hAnsiTheme="minorEastAsia"/>
          <w:color w:val="333333"/>
          <w:sz w:val="30"/>
          <w:szCs w:val="30"/>
          <w:shd w:val="clear" w:color="auto" w:fill="FFFFFF"/>
        </w:rPr>
      </w:pPr>
      <w:r>
        <w:rPr>
          <w:rFonts w:hint="eastAsia" w:ascii="仿宋_GB2312" w:hAnsi="宋体" w:eastAsia="仿宋_GB2312" w:cs="Tahoma"/>
          <w:kern w:val="0"/>
          <w:sz w:val="32"/>
          <w:szCs w:val="32"/>
        </w:rPr>
        <w:t>我单位2020年无政府性基金预算支出。</w:t>
      </w:r>
    </w:p>
    <w:p>
      <w:pPr>
        <w:pStyle w:val="6"/>
        <w:snapToGrid w:val="0"/>
        <w:spacing w:before="0" w:beforeAutospacing="0" w:after="0" w:afterAutospacing="0" w:line="600" w:lineRule="exact"/>
        <w:ind w:firstLine="600" w:firstLineChars="200"/>
        <w:rPr>
          <w:rFonts w:ascii="黑体" w:hAnsi="黑体" w:eastAsia="黑体"/>
          <w:sz w:val="30"/>
          <w:szCs w:val="30"/>
        </w:rPr>
      </w:pPr>
      <w:r>
        <w:rPr>
          <w:rFonts w:hint="eastAsia" w:ascii="黑体" w:hAnsi="黑体" w:eastAsia="黑体"/>
          <w:color w:val="333333"/>
          <w:sz w:val="30"/>
          <w:szCs w:val="30"/>
          <w:shd w:val="clear" w:color="auto" w:fill="FFFFFF"/>
        </w:rPr>
        <w:t>八、“三公”经费支出预算情况说明</w:t>
      </w:r>
    </w:p>
    <w:p>
      <w:pPr>
        <w:pStyle w:val="6"/>
        <w:snapToGrid w:val="0"/>
        <w:spacing w:before="0" w:beforeAutospacing="0" w:after="0" w:afterAutospacing="0" w:line="640" w:lineRule="exact"/>
        <w:ind w:firstLine="560"/>
        <w:rPr>
          <w:rFonts w:ascii="仿宋_GB2312" w:hAnsi="Tahoma" w:eastAsia="仿宋_GB2312" w:cs="Tahoma"/>
          <w:sz w:val="32"/>
          <w:szCs w:val="32"/>
        </w:rPr>
      </w:pPr>
      <w:r>
        <w:rPr>
          <w:rFonts w:hint="eastAsia" w:ascii="仿宋_GB2312" w:eastAsia="仿宋_GB2312" w:cs="Tahoma"/>
          <w:sz w:val="32"/>
          <w:szCs w:val="32"/>
        </w:rPr>
        <w:t>2020年“三公”经费预算为6万元。2020年“三公”经费支出预算数比2019年持平。</w:t>
      </w:r>
    </w:p>
    <w:p>
      <w:pPr>
        <w:pStyle w:val="6"/>
        <w:snapToGrid w:val="0"/>
        <w:spacing w:before="0" w:beforeAutospacing="0" w:after="0" w:afterAutospacing="0" w:line="640" w:lineRule="exact"/>
        <w:ind w:firstLine="560"/>
        <w:rPr>
          <w:rFonts w:ascii="仿宋_GB2312" w:hAnsi="Tahoma" w:eastAsia="仿宋_GB2312" w:cs="Tahoma"/>
          <w:sz w:val="32"/>
          <w:szCs w:val="32"/>
        </w:rPr>
      </w:pPr>
      <w:r>
        <w:rPr>
          <w:rFonts w:hint="eastAsia" w:ascii="仿宋_GB2312" w:eastAsia="仿宋_GB2312" w:cs="Tahoma"/>
          <w:sz w:val="32"/>
          <w:szCs w:val="32"/>
        </w:rPr>
        <w:t>具体支出情况如下：</w:t>
      </w:r>
    </w:p>
    <w:p>
      <w:pPr>
        <w:pStyle w:val="6"/>
        <w:snapToGrid w:val="0"/>
        <w:spacing w:before="0" w:beforeAutospacing="0" w:after="0" w:afterAutospacing="0" w:line="640" w:lineRule="exact"/>
        <w:ind w:firstLine="320" w:firstLineChars="100"/>
        <w:rPr>
          <w:rFonts w:ascii="仿宋_GB2312" w:hAnsi="Tahoma" w:eastAsia="仿宋_GB2312" w:cs="Tahoma"/>
          <w:sz w:val="32"/>
          <w:szCs w:val="32"/>
        </w:rPr>
      </w:pPr>
      <w:r>
        <w:rPr>
          <w:rFonts w:hint="eastAsia" w:ascii="仿宋_GB2312" w:eastAsia="仿宋_GB2312" w:cs="Tahoma"/>
          <w:sz w:val="32"/>
          <w:szCs w:val="32"/>
        </w:rPr>
        <w:t>（1）因公出国（境）费0万元。</w:t>
      </w:r>
    </w:p>
    <w:p>
      <w:pPr>
        <w:pStyle w:val="6"/>
        <w:snapToGrid w:val="0"/>
        <w:spacing w:before="0" w:beforeAutospacing="0" w:after="0" w:afterAutospacing="0" w:line="640" w:lineRule="exact"/>
        <w:ind w:firstLine="320" w:firstLineChars="100"/>
        <w:rPr>
          <w:rFonts w:ascii="仿宋_GB2312" w:eastAsia="仿宋_GB2312" w:cs="Tahoma"/>
          <w:sz w:val="32"/>
          <w:szCs w:val="32"/>
        </w:rPr>
      </w:pPr>
      <w:r>
        <w:rPr>
          <w:rFonts w:hint="eastAsia" w:ascii="仿宋_GB2312" w:eastAsia="仿宋_GB2312" w:cs="Tahoma"/>
          <w:sz w:val="32"/>
          <w:szCs w:val="32"/>
        </w:rPr>
        <w:t>（2）公务用车购置及运行费5.8万元，其中，公务用车购置费0万元；公务用车运行维护费5.8万元，主要用于开展工作所需公务用车的燃料费、维修费、过路过桥费、保险费等支出。公务用车购置</w:t>
      </w:r>
      <w:bookmarkStart w:id="0" w:name="_GoBack"/>
      <w:bookmarkEnd w:id="0"/>
      <w:r>
        <w:rPr>
          <w:rFonts w:hint="eastAsia" w:ascii="仿宋_GB2312" w:eastAsia="仿宋_GB2312" w:cs="Tahoma"/>
          <w:sz w:val="32"/>
          <w:szCs w:val="32"/>
        </w:rPr>
        <w:t>费预算数与2019年持平。</w:t>
      </w:r>
    </w:p>
    <w:p>
      <w:pPr>
        <w:spacing w:line="620" w:lineRule="exact"/>
        <w:ind w:firstLine="640" w:firstLineChars="200"/>
        <w:rPr>
          <w:rFonts w:ascii="仿宋_GB2312" w:eastAsia="仿宋_GB2312" w:cs="Tahoma"/>
          <w:sz w:val="32"/>
          <w:szCs w:val="32"/>
        </w:rPr>
      </w:pPr>
      <w:r>
        <w:rPr>
          <w:rFonts w:hint="eastAsia" w:ascii="仿宋_GB2312" w:eastAsia="仿宋_GB2312" w:cs="Tahoma"/>
          <w:sz w:val="32"/>
          <w:szCs w:val="32"/>
        </w:rPr>
        <w:t>（3）公务接待费0.2万元，预算数比2019年持平。</w:t>
      </w:r>
    </w:p>
    <w:p>
      <w:pPr>
        <w:spacing w:line="620" w:lineRule="exact"/>
        <w:ind w:firstLine="600" w:firstLineChars="200"/>
        <w:rPr>
          <w:rFonts w:ascii="黑体" w:hAnsi="黑体" w:eastAsia="黑体" w:cs="宋体"/>
          <w:b/>
          <w:bCs/>
          <w:color w:val="333333"/>
          <w:sz w:val="30"/>
          <w:szCs w:val="30"/>
          <w:shd w:val="clear" w:color="auto" w:fill="FFFFFF"/>
        </w:rPr>
      </w:pPr>
      <w:r>
        <w:rPr>
          <w:rFonts w:hint="eastAsia" w:ascii="黑体" w:hAnsi="黑体" w:eastAsia="黑体" w:cs="宋体"/>
          <w:b/>
          <w:bCs/>
          <w:color w:val="333333"/>
          <w:sz w:val="30"/>
          <w:szCs w:val="30"/>
          <w:shd w:val="clear" w:color="auto" w:fill="FFFFFF"/>
        </w:rPr>
        <w:t>九、其他重要事项的情况说明</w:t>
      </w:r>
    </w:p>
    <w:p>
      <w:pPr>
        <w:pStyle w:val="6"/>
        <w:snapToGrid w:val="0"/>
        <w:spacing w:before="0" w:beforeAutospacing="0" w:after="0" w:afterAutospacing="0" w:line="600" w:lineRule="exact"/>
        <w:ind w:firstLine="600" w:firstLineChars="200"/>
        <w:rPr>
          <w:rFonts w:ascii="楷体" w:hAnsi="楷体" w:eastAsia="楷体" w:cs="Tahoma"/>
          <w:b/>
          <w:sz w:val="30"/>
          <w:szCs w:val="30"/>
        </w:rPr>
      </w:pPr>
      <w:r>
        <w:rPr>
          <w:rFonts w:hint="eastAsia" w:ascii="楷体" w:hAnsi="楷体" w:eastAsia="楷体" w:cs="Tahoma"/>
          <w:b/>
          <w:sz w:val="30"/>
          <w:szCs w:val="30"/>
        </w:rPr>
        <w:t>（一）机关运行经费支出情况</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我单位2020年机关运行经费支出预算26.5万元，主要保障机关正常运转及正常履职需要。</w:t>
      </w:r>
    </w:p>
    <w:p>
      <w:pPr>
        <w:pStyle w:val="6"/>
        <w:snapToGrid w:val="0"/>
        <w:spacing w:before="0" w:beforeAutospacing="0" w:after="0" w:afterAutospacing="0" w:line="600" w:lineRule="exact"/>
        <w:ind w:firstLine="600" w:firstLineChars="200"/>
        <w:rPr>
          <w:rFonts w:ascii="楷体" w:hAnsi="楷体" w:eastAsia="楷体" w:cs="Tahoma"/>
          <w:b/>
          <w:sz w:val="30"/>
          <w:szCs w:val="30"/>
        </w:rPr>
      </w:pPr>
      <w:r>
        <w:rPr>
          <w:rFonts w:hint="eastAsia" w:ascii="楷体" w:hAnsi="楷体" w:eastAsia="楷体" w:cs="Tahoma"/>
          <w:b/>
          <w:sz w:val="30"/>
          <w:szCs w:val="30"/>
        </w:rPr>
        <w:t>（二）政府采购支出情况</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我单位2020年政府采购预算安排0万元，其中：政府采购货物预算0万元、政府采购工程预算0万元、政府采购服务预算0万元。</w:t>
      </w:r>
    </w:p>
    <w:p>
      <w:pPr>
        <w:pStyle w:val="6"/>
        <w:snapToGrid w:val="0"/>
        <w:spacing w:before="0" w:beforeAutospacing="0" w:after="0" w:afterAutospacing="0" w:line="600" w:lineRule="exact"/>
        <w:ind w:firstLine="600" w:firstLineChars="200"/>
        <w:rPr>
          <w:rFonts w:ascii="楷体" w:hAnsi="楷体" w:eastAsia="楷体" w:cs="Tahoma"/>
          <w:b/>
          <w:sz w:val="30"/>
          <w:szCs w:val="30"/>
        </w:rPr>
      </w:pPr>
      <w:r>
        <w:rPr>
          <w:rFonts w:hint="eastAsia" w:ascii="楷体" w:hAnsi="楷体" w:eastAsia="楷体" w:cs="Tahoma"/>
          <w:b/>
          <w:sz w:val="30"/>
          <w:szCs w:val="30"/>
        </w:rPr>
        <w:t>（三）国有资本经营预算支出情况</w:t>
      </w:r>
    </w:p>
    <w:p>
      <w:pPr>
        <w:spacing w:line="640" w:lineRule="exact"/>
        <w:ind w:firstLine="640" w:firstLineChars="200"/>
        <w:jc w:val="left"/>
        <w:rPr>
          <w:rFonts w:ascii="仿宋_GB2312" w:hAnsi="宋体" w:eastAsia="仿宋_GB2312" w:cs="Tahoma"/>
          <w:kern w:val="0"/>
          <w:sz w:val="32"/>
          <w:szCs w:val="32"/>
        </w:rPr>
      </w:pPr>
      <w:r>
        <w:rPr>
          <w:rFonts w:hint="eastAsia" w:ascii="仿宋_GB2312" w:hAnsi="宋体" w:eastAsia="仿宋_GB2312" w:cs="Tahoma"/>
          <w:kern w:val="0"/>
          <w:sz w:val="32"/>
          <w:szCs w:val="32"/>
        </w:rPr>
        <w:t>我单位国有资本经营预算支出为0万元。</w:t>
      </w:r>
    </w:p>
    <w:p>
      <w:pPr>
        <w:pStyle w:val="6"/>
        <w:snapToGrid w:val="0"/>
        <w:spacing w:before="0" w:beforeAutospacing="0" w:after="0" w:afterAutospacing="0" w:line="600" w:lineRule="exact"/>
        <w:ind w:firstLine="600" w:firstLineChars="200"/>
        <w:rPr>
          <w:rFonts w:ascii="楷体" w:hAnsi="楷体" w:eastAsia="楷体" w:cs="Tahoma"/>
          <w:b/>
          <w:sz w:val="32"/>
          <w:szCs w:val="32"/>
        </w:rPr>
      </w:pPr>
      <w:r>
        <w:rPr>
          <w:rFonts w:hint="eastAsia" w:ascii="楷体" w:hAnsi="楷体" w:eastAsia="楷体" w:cs="Tahoma"/>
          <w:b/>
          <w:sz w:val="30"/>
          <w:szCs w:val="30"/>
        </w:rPr>
        <w:t>（四）</w:t>
      </w:r>
      <w:r>
        <w:rPr>
          <w:rFonts w:hint="eastAsia" w:ascii="楷体" w:hAnsi="楷体" w:eastAsia="楷体" w:cs="Tahoma"/>
          <w:b/>
          <w:sz w:val="32"/>
          <w:szCs w:val="32"/>
        </w:rPr>
        <w:t>重点项目预算的绩效目标等预算绩效情况说明</w:t>
      </w:r>
    </w:p>
    <w:p>
      <w:pPr>
        <w:pStyle w:val="6"/>
        <w:snapToGrid w:val="0"/>
        <w:spacing w:before="0" w:beforeAutospacing="0" w:after="0" w:afterAutospacing="0" w:line="600" w:lineRule="exact"/>
        <w:ind w:firstLine="640" w:firstLineChars="200"/>
        <w:rPr>
          <w:rFonts w:ascii="仿宋_GB2312" w:eastAsia="仿宋_GB2312" w:cs="Tahoma"/>
          <w:sz w:val="32"/>
          <w:szCs w:val="32"/>
        </w:rPr>
      </w:pPr>
      <w:r>
        <w:rPr>
          <w:rFonts w:hint="eastAsia" w:ascii="仿宋_GB2312" w:eastAsia="仿宋_GB2312" w:cs="Tahoma"/>
          <w:sz w:val="32"/>
          <w:szCs w:val="32"/>
        </w:rPr>
        <w:t>2019年，我单位共组织对0个项目进行了预算绩效评价，涉及资金0万元。2020年，我单位拟组织对0个项目进行预算绩效评价，涉及资金 0万元，进行绩效评价。</w:t>
      </w:r>
    </w:p>
    <w:p>
      <w:pPr>
        <w:pStyle w:val="6"/>
        <w:snapToGrid w:val="0"/>
        <w:spacing w:before="0" w:beforeAutospacing="0" w:after="0" w:afterAutospacing="0" w:line="600" w:lineRule="exact"/>
        <w:ind w:firstLine="600" w:firstLineChars="200"/>
        <w:rPr>
          <w:rFonts w:ascii="楷体" w:hAnsi="楷体" w:eastAsia="楷体" w:cs="Tahoma"/>
          <w:b/>
          <w:sz w:val="30"/>
          <w:szCs w:val="30"/>
        </w:rPr>
      </w:pPr>
      <w:r>
        <w:rPr>
          <w:rFonts w:hint="eastAsia" w:ascii="楷体" w:hAnsi="楷体" w:eastAsia="楷体" w:cs="Tahoma"/>
          <w:b/>
          <w:sz w:val="30"/>
          <w:szCs w:val="30"/>
        </w:rPr>
        <w:t>（五）国有资产占用情况</w:t>
      </w:r>
    </w:p>
    <w:p>
      <w:pPr>
        <w:pStyle w:val="6"/>
        <w:snapToGrid w:val="0"/>
        <w:spacing w:before="0" w:beforeAutospacing="0" w:after="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2019年期末，我单位共有车辆2辆，其中：一般公务用车2辆；单价50万元以上通用设备0台，单位价值100万元以上专用设备0台。</w:t>
      </w:r>
    </w:p>
    <w:p>
      <w:pPr>
        <w:pStyle w:val="6"/>
        <w:snapToGrid w:val="0"/>
        <w:spacing w:before="0" w:beforeAutospacing="0" w:after="0" w:afterAutospacing="0" w:line="600" w:lineRule="exact"/>
        <w:ind w:firstLine="600" w:firstLineChars="200"/>
        <w:rPr>
          <w:rFonts w:ascii="楷体" w:hAnsi="楷体" w:eastAsia="楷体" w:cs="Tahoma"/>
          <w:b/>
          <w:sz w:val="30"/>
          <w:szCs w:val="30"/>
        </w:rPr>
      </w:pPr>
      <w:r>
        <w:rPr>
          <w:rFonts w:hint="eastAsia" w:ascii="楷体" w:hAnsi="楷体" w:eastAsia="楷体" w:cs="Tahoma"/>
          <w:b/>
          <w:sz w:val="30"/>
          <w:szCs w:val="30"/>
        </w:rPr>
        <w:t>（六）专项转移支付项目情况</w:t>
      </w:r>
    </w:p>
    <w:p>
      <w:pPr>
        <w:ind w:firstLine="640" w:firstLineChars="200"/>
        <w:rPr>
          <w:rFonts w:ascii="仿宋_GB2312" w:eastAsia="仿宋_GB2312" w:cs="宋体" w:hAnsiTheme="minorEastAsia"/>
          <w:color w:val="333333"/>
          <w:sz w:val="30"/>
          <w:szCs w:val="30"/>
          <w:shd w:val="clear" w:color="auto" w:fill="FFFFFF"/>
        </w:rPr>
      </w:pPr>
      <w:r>
        <w:rPr>
          <w:rFonts w:hint="eastAsia" w:ascii="仿宋" w:hAnsi="仿宋" w:eastAsia="仿宋" w:cs="仿宋"/>
          <w:kern w:val="0"/>
          <w:sz w:val="32"/>
          <w:szCs w:val="32"/>
        </w:rPr>
        <w:t>我单位无专项转移支付项目。</w:t>
      </w:r>
    </w:p>
    <w:p>
      <w:pPr>
        <w:pStyle w:val="6"/>
        <w:spacing w:before="0" w:beforeAutospacing="0" w:after="0" w:afterAutospacing="0" w:line="560" w:lineRule="exact"/>
        <w:ind w:firstLine="2000" w:firstLineChars="500"/>
        <w:rPr>
          <w:rStyle w:val="9"/>
          <w:rFonts w:asciiTheme="minorEastAsia" w:hAnsiTheme="minorEastAsia"/>
          <w:sz w:val="40"/>
          <w:szCs w:val="40"/>
        </w:rPr>
      </w:pPr>
      <w:r>
        <w:rPr>
          <w:rStyle w:val="9"/>
          <w:rFonts w:hint="eastAsia" w:asciiTheme="minorEastAsia" w:hAnsiTheme="minorEastAsia"/>
          <w:sz w:val="40"/>
          <w:szCs w:val="40"/>
        </w:rPr>
        <w:t xml:space="preserve">第三部分  </w:t>
      </w:r>
      <w:r>
        <w:rPr>
          <w:rStyle w:val="9"/>
          <w:rFonts w:asciiTheme="minorEastAsia" w:hAnsiTheme="minorEastAsia"/>
          <w:sz w:val="40"/>
          <w:szCs w:val="40"/>
        </w:rPr>
        <w:t>名词解释</w:t>
      </w:r>
    </w:p>
    <w:p>
      <w:pPr>
        <w:pStyle w:val="6"/>
        <w:spacing w:before="0" w:beforeAutospacing="0" w:after="0" w:afterAutospacing="0" w:line="560" w:lineRule="exact"/>
        <w:ind w:firstLine="3500" w:firstLineChars="1250"/>
        <w:rPr>
          <w:rStyle w:val="9"/>
          <w:rFonts w:asciiTheme="minorEastAsia" w:hAnsiTheme="minorEastAsia"/>
          <w:sz w:val="28"/>
          <w:szCs w:val="28"/>
        </w:rPr>
      </w:pP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一、财政拨款：指一般公共预算财政拨款和政府性基金预算财政拨款。</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 一般公共预算：包括公共财政拨款（补助）资金、专项收入。</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三、财政专户管理资金：包括专户管理行政事业性收费（主要是教育收费）、其他非税收入。</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 、 其他资金：包括事业收入、经营收入、其他收入等。</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 、基本支出：指为保障机构正常运转、完成工作任务而发生的人员支出和公用支出。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 、项目支出：指在基本支出之外为完成特定工作任务和事业发展目标所发生的支出。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三公”经费：指部门用一般公共预算财政拨款安排的因公出国（境）费、公务用车购置及运行费和公务接待费。其中，因公出国（境）费反映单位公务出国（境）的住宿费、旅费、伙食补助费、杂费、培训费等支出；公务用车购置及运行费反映单位公务用车购置费、燃料费、维修费、过桥过路费、保险费、安全奖励费用等支出；公务接待费反映单位按规定开支的各类公务接待（含外宾接待）支出。</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八 、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pPr>
        <w:ind w:firstLine="600" w:firstLineChars="200"/>
        <w:rPr>
          <w:rFonts w:ascii="仿宋_GB2312" w:eastAsia="仿宋_GB2312" w:cs="宋体" w:hAnsiTheme="minorEastAsia"/>
          <w:color w:val="333333"/>
          <w:sz w:val="30"/>
          <w:szCs w:val="30"/>
          <w:shd w:val="clear" w:color="auto" w:fill="FFFFFF"/>
        </w:rPr>
      </w:pPr>
    </w:p>
    <w:sectPr>
      <w:footerReference r:id="rId3"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849463"/>
    </w:sdtPr>
    <w:sdtContent>
      <w:p>
        <w:pPr>
          <w:pStyle w:val="4"/>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013B77"/>
    <w:rsid w:val="00026982"/>
    <w:rsid w:val="00067ABC"/>
    <w:rsid w:val="00085E80"/>
    <w:rsid w:val="000925EB"/>
    <w:rsid w:val="000A1199"/>
    <w:rsid w:val="000B0B26"/>
    <w:rsid w:val="000B1625"/>
    <w:rsid w:val="000B70A1"/>
    <w:rsid w:val="000C1E5C"/>
    <w:rsid w:val="000C2AE7"/>
    <w:rsid w:val="000D2335"/>
    <w:rsid w:val="000D2A4A"/>
    <w:rsid w:val="000D56D7"/>
    <w:rsid w:val="000F75D4"/>
    <w:rsid w:val="0011505E"/>
    <w:rsid w:val="001207D1"/>
    <w:rsid w:val="0012373F"/>
    <w:rsid w:val="00127BFB"/>
    <w:rsid w:val="00142918"/>
    <w:rsid w:val="00143282"/>
    <w:rsid w:val="00161DD7"/>
    <w:rsid w:val="001720F0"/>
    <w:rsid w:val="001A00CA"/>
    <w:rsid w:val="001B37E5"/>
    <w:rsid w:val="001C0E0F"/>
    <w:rsid w:val="001D46E2"/>
    <w:rsid w:val="001F4AAA"/>
    <w:rsid w:val="00215CDE"/>
    <w:rsid w:val="002240E3"/>
    <w:rsid w:val="002272FD"/>
    <w:rsid w:val="00232841"/>
    <w:rsid w:val="00234023"/>
    <w:rsid w:val="002367F9"/>
    <w:rsid w:val="00251070"/>
    <w:rsid w:val="002811D5"/>
    <w:rsid w:val="002920F0"/>
    <w:rsid w:val="002D3106"/>
    <w:rsid w:val="002E3014"/>
    <w:rsid w:val="002F7C1E"/>
    <w:rsid w:val="003037C5"/>
    <w:rsid w:val="00310A6F"/>
    <w:rsid w:val="0031421A"/>
    <w:rsid w:val="00322A6D"/>
    <w:rsid w:val="003630CF"/>
    <w:rsid w:val="0036447F"/>
    <w:rsid w:val="003675FB"/>
    <w:rsid w:val="00370467"/>
    <w:rsid w:val="00372742"/>
    <w:rsid w:val="0037475D"/>
    <w:rsid w:val="00390C7C"/>
    <w:rsid w:val="00391185"/>
    <w:rsid w:val="0039348B"/>
    <w:rsid w:val="00394C2E"/>
    <w:rsid w:val="003955E3"/>
    <w:rsid w:val="003A22C5"/>
    <w:rsid w:val="003A3CC7"/>
    <w:rsid w:val="003C7F56"/>
    <w:rsid w:val="003E652E"/>
    <w:rsid w:val="00415BEE"/>
    <w:rsid w:val="004176D8"/>
    <w:rsid w:val="004216BE"/>
    <w:rsid w:val="00422C2B"/>
    <w:rsid w:val="00433DAC"/>
    <w:rsid w:val="00434EB3"/>
    <w:rsid w:val="00441B8C"/>
    <w:rsid w:val="00443416"/>
    <w:rsid w:val="0044394C"/>
    <w:rsid w:val="00447660"/>
    <w:rsid w:val="00451FCB"/>
    <w:rsid w:val="0046771F"/>
    <w:rsid w:val="004735D4"/>
    <w:rsid w:val="00473CBB"/>
    <w:rsid w:val="00483002"/>
    <w:rsid w:val="004D02B1"/>
    <w:rsid w:val="004D383F"/>
    <w:rsid w:val="004D5C66"/>
    <w:rsid w:val="005067B2"/>
    <w:rsid w:val="00512911"/>
    <w:rsid w:val="00520090"/>
    <w:rsid w:val="00537AE3"/>
    <w:rsid w:val="00544A63"/>
    <w:rsid w:val="0057064F"/>
    <w:rsid w:val="005739EA"/>
    <w:rsid w:val="005A3402"/>
    <w:rsid w:val="005C4FC7"/>
    <w:rsid w:val="005F1DF3"/>
    <w:rsid w:val="005F52E1"/>
    <w:rsid w:val="00603869"/>
    <w:rsid w:val="00621B77"/>
    <w:rsid w:val="00627E11"/>
    <w:rsid w:val="006420F6"/>
    <w:rsid w:val="006451BC"/>
    <w:rsid w:val="006517E9"/>
    <w:rsid w:val="00651C96"/>
    <w:rsid w:val="00653E39"/>
    <w:rsid w:val="00654E20"/>
    <w:rsid w:val="00660167"/>
    <w:rsid w:val="006661B5"/>
    <w:rsid w:val="00676E4B"/>
    <w:rsid w:val="00677B1C"/>
    <w:rsid w:val="006B1260"/>
    <w:rsid w:val="006D0BB1"/>
    <w:rsid w:val="006E3B5D"/>
    <w:rsid w:val="00702B82"/>
    <w:rsid w:val="00723EA4"/>
    <w:rsid w:val="00734FA4"/>
    <w:rsid w:val="007356A6"/>
    <w:rsid w:val="00746486"/>
    <w:rsid w:val="007674DC"/>
    <w:rsid w:val="00775446"/>
    <w:rsid w:val="007876CF"/>
    <w:rsid w:val="007B4214"/>
    <w:rsid w:val="007C536C"/>
    <w:rsid w:val="007E582B"/>
    <w:rsid w:val="008134AA"/>
    <w:rsid w:val="00815D87"/>
    <w:rsid w:val="00825BAB"/>
    <w:rsid w:val="0083267E"/>
    <w:rsid w:val="00840EB9"/>
    <w:rsid w:val="00846241"/>
    <w:rsid w:val="00855E83"/>
    <w:rsid w:val="00883015"/>
    <w:rsid w:val="008A087F"/>
    <w:rsid w:val="008B1AA0"/>
    <w:rsid w:val="008B60E6"/>
    <w:rsid w:val="008C309E"/>
    <w:rsid w:val="008D06F8"/>
    <w:rsid w:val="009005D4"/>
    <w:rsid w:val="009145E5"/>
    <w:rsid w:val="00923EB6"/>
    <w:rsid w:val="00941132"/>
    <w:rsid w:val="00962423"/>
    <w:rsid w:val="00965EE5"/>
    <w:rsid w:val="00990D5A"/>
    <w:rsid w:val="009C631F"/>
    <w:rsid w:val="009D3246"/>
    <w:rsid w:val="009F3599"/>
    <w:rsid w:val="009F3A4F"/>
    <w:rsid w:val="00A0677F"/>
    <w:rsid w:val="00A12996"/>
    <w:rsid w:val="00A1441E"/>
    <w:rsid w:val="00A42936"/>
    <w:rsid w:val="00A4775A"/>
    <w:rsid w:val="00A64168"/>
    <w:rsid w:val="00A71D1B"/>
    <w:rsid w:val="00A8571D"/>
    <w:rsid w:val="00A94151"/>
    <w:rsid w:val="00AD139C"/>
    <w:rsid w:val="00AD5039"/>
    <w:rsid w:val="00AD7BC3"/>
    <w:rsid w:val="00B02835"/>
    <w:rsid w:val="00B02C49"/>
    <w:rsid w:val="00B213D1"/>
    <w:rsid w:val="00B41E0B"/>
    <w:rsid w:val="00B64837"/>
    <w:rsid w:val="00B66892"/>
    <w:rsid w:val="00B66C9F"/>
    <w:rsid w:val="00B95CDD"/>
    <w:rsid w:val="00BB317D"/>
    <w:rsid w:val="00BC2EDF"/>
    <w:rsid w:val="00BC6D23"/>
    <w:rsid w:val="00BD3A0F"/>
    <w:rsid w:val="00BE1E74"/>
    <w:rsid w:val="00BF2CBD"/>
    <w:rsid w:val="00C22A5E"/>
    <w:rsid w:val="00C31335"/>
    <w:rsid w:val="00C362D6"/>
    <w:rsid w:val="00C444B4"/>
    <w:rsid w:val="00C575EF"/>
    <w:rsid w:val="00C60543"/>
    <w:rsid w:val="00C67848"/>
    <w:rsid w:val="00C8472C"/>
    <w:rsid w:val="00C91D6B"/>
    <w:rsid w:val="00C95FD4"/>
    <w:rsid w:val="00CB32F6"/>
    <w:rsid w:val="00CC0415"/>
    <w:rsid w:val="00CC5C9F"/>
    <w:rsid w:val="00CE231D"/>
    <w:rsid w:val="00CF2EC4"/>
    <w:rsid w:val="00D04D76"/>
    <w:rsid w:val="00D04F42"/>
    <w:rsid w:val="00D14DCB"/>
    <w:rsid w:val="00D1505E"/>
    <w:rsid w:val="00D20753"/>
    <w:rsid w:val="00D210D4"/>
    <w:rsid w:val="00D6731F"/>
    <w:rsid w:val="00D73C1F"/>
    <w:rsid w:val="00D920A5"/>
    <w:rsid w:val="00DB6B5F"/>
    <w:rsid w:val="00DC0C06"/>
    <w:rsid w:val="00DC1CD5"/>
    <w:rsid w:val="00DC305A"/>
    <w:rsid w:val="00DD2384"/>
    <w:rsid w:val="00DD3A6E"/>
    <w:rsid w:val="00DD7C69"/>
    <w:rsid w:val="00DE31EF"/>
    <w:rsid w:val="00DE6194"/>
    <w:rsid w:val="00DF0F0A"/>
    <w:rsid w:val="00DF3CF1"/>
    <w:rsid w:val="00DF4E36"/>
    <w:rsid w:val="00E11E26"/>
    <w:rsid w:val="00E12C41"/>
    <w:rsid w:val="00E16426"/>
    <w:rsid w:val="00E513B7"/>
    <w:rsid w:val="00E70C58"/>
    <w:rsid w:val="00EA4EDC"/>
    <w:rsid w:val="00EA5F54"/>
    <w:rsid w:val="00EB210F"/>
    <w:rsid w:val="00EE5224"/>
    <w:rsid w:val="00EE6E08"/>
    <w:rsid w:val="00F07F58"/>
    <w:rsid w:val="00F30D61"/>
    <w:rsid w:val="00F462A0"/>
    <w:rsid w:val="00F93343"/>
    <w:rsid w:val="00F9502E"/>
    <w:rsid w:val="00FB48D0"/>
    <w:rsid w:val="00FE0594"/>
    <w:rsid w:val="01D36856"/>
    <w:rsid w:val="035A272D"/>
    <w:rsid w:val="04E4146A"/>
    <w:rsid w:val="067A243B"/>
    <w:rsid w:val="09267F04"/>
    <w:rsid w:val="0AED42B1"/>
    <w:rsid w:val="0CDF31A7"/>
    <w:rsid w:val="0CF41049"/>
    <w:rsid w:val="0E4447F7"/>
    <w:rsid w:val="11D77451"/>
    <w:rsid w:val="12A46908"/>
    <w:rsid w:val="14FF5696"/>
    <w:rsid w:val="17572060"/>
    <w:rsid w:val="1B417377"/>
    <w:rsid w:val="1CA02F98"/>
    <w:rsid w:val="1CCA4ED2"/>
    <w:rsid w:val="1F820157"/>
    <w:rsid w:val="206D3F86"/>
    <w:rsid w:val="23F40B0F"/>
    <w:rsid w:val="2555159A"/>
    <w:rsid w:val="2951033E"/>
    <w:rsid w:val="2AC90B40"/>
    <w:rsid w:val="2DC83A7E"/>
    <w:rsid w:val="3021068F"/>
    <w:rsid w:val="3F590A06"/>
    <w:rsid w:val="443C78A5"/>
    <w:rsid w:val="44700B3D"/>
    <w:rsid w:val="44C4677D"/>
    <w:rsid w:val="44DE57AD"/>
    <w:rsid w:val="458A057C"/>
    <w:rsid w:val="46795400"/>
    <w:rsid w:val="46F67503"/>
    <w:rsid w:val="47532CE5"/>
    <w:rsid w:val="47860040"/>
    <w:rsid w:val="49BA55BE"/>
    <w:rsid w:val="4B9F1A70"/>
    <w:rsid w:val="4C87647F"/>
    <w:rsid w:val="525172CF"/>
    <w:rsid w:val="563F4B47"/>
    <w:rsid w:val="575F4410"/>
    <w:rsid w:val="581157E6"/>
    <w:rsid w:val="590F3C2B"/>
    <w:rsid w:val="59103370"/>
    <w:rsid w:val="5AC13574"/>
    <w:rsid w:val="5ADF4A26"/>
    <w:rsid w:val="5B013B77"/>
    <w:rsid w:val="5B623478"/>
    <w:rsid w:val="5BB7795C"/>
    <w:rsid w:val="5C592565"/>
    <w:rsid w:val="5D1A08BF"/>
    <w:rsid w:val="5F936A0E"/>
    <w:rsid w:val="647B536F"/>
    <w:rsid w:val="6691311C"/>
    <w:rsid w:val="677379D6"/>
    <w:rsid w:val="68383B43"/>
    <w:rsid w:val="697E7D4D"/>
    <w:rsid w:val="6E673457"/>
    <w:rsid w:val="706F4DFC"/>
    <w:rsid w:val="73A01DC1"/>
    <w:rsid w:val="7CA21C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qFormat/>
    <w:uiPriority w:val="0"/>
    <w:pPr>
      <w:ind w:left="100" w:leftChars="2500"/>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5"/>
    <w:qFormat/>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22"/>
    <w:rPr>
      <w:b/>
      <w:bCs/>
    </w:rPr>
  </w:style>
  <w:style w:type="paragraph" w:customStyle="1" w:styleId="10">
    <w:name w:val="列出段落1"/>
    <w:basedOn w:val="1"/>
    <w:qFormat/>
    <w:uiPriority w:val="34"/>
    <w:pPr>
      <w:ind w:firstLine="420" w:firstLineChars="200"/>
    </w:pPr>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 w:type="character" w:customStyle="1" w:styleId="12">
    <w:name w:val="页脚 Char"/>
    <w:basedOn w:val="8"/>
    <w:link w:val="4"/>
    <w:qFormat/>
    <w:uiPriority w:val="99"/>
    <w:rPr>
      <w:rFonts w:asciiTheme="minorHAnsi" w:hAnsiTheme="minorHAnsi" w:eastAsiaTheme="minorEastAsia" w:cstheme="minorBidi"/>
      <w:kern w:val="2"/>
      <w:sz w:val="18"/>
      <w:szCs w:val="18"/>
    </w:rPr>
  </w:style>
  <w:style w:type="character" w:customStyle="1" w:styleId="13">
    <w:name w:val="批注框文本 Char"/>
    <w:basedOn w:val="8"/>
    <w:link w:val="3"/>
    <w:qFormat/>
    <w:uiPriority w:val="0"/>
    <w:rPr>
      <w:rFonts w:asciiTheme="minorHAnsi" w:hAnsiTheme="minorHAnsi" w:eastAsiaTheme="minorEastAsia" w:cstheme="minorBidi"/>
      <w:kern w:val="2"/>
      <w:sz w:val="18"/>
      <w:szCs w:val="18"/>
    </w:rPr>
  </w:style>
  <w:style w:type="paragraph" w:styleId="14">
    <w:name w:val="List Paragraph"/>
    <w:basedOn w:val="1"/>
    <w:unhideWhenUsed/>
    <w:uiPriority w:val="99"/>
    <w:pPr>
      <w:ind w:firstLine="420" w:firstLineChars="200"/>
    </w:pPr>
  </w:style>
  <w:style w:type="character" w:customStyle="1" w:styleId="15">
    <w:name w:val="普通(网站) Char"/>
    <w:link w:val="6"/>
    <w:uiPriority w:val="0"/>
    <w:rPr>
      <w:rFonts w:ascii="宋体" w:hAnsi="宋体" w:cs="宋体" w:eastAsiaTheme="minorEastAsia"/>
      <w:sz w:val="24"/>
      <w:szCs w:val="24"/>
    </w:rPr>
  </w:style>
  <w:style w:type="character" w:customStyle="1" w:styleId="16">
    <w:name w:val="日期 Char"/>
    <w:basedOn w:val="8"/>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F0A4F-B266-4FAC-8D51-6BD85D24B0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4074</Words>
  <Characters>448</Characters>
  <Lines>3</Lines>
  <Paragraphs>9</Paragraphs>
  <TotalTime>5</TotalTime>
  <ScaleCrop>false</ScaleCrop>
  <LinksUpToDate>false</LinksUpToDate>
  <CharactersWithSpaces>4513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2020-05-11T02:05:00Z</dcterms:created>
  <dc:creator>灰太郎</dc:creator>
  <cp:lastModifiedBy>如意儿</cp:lastModifiedBy>
  <cp:lastPrinted>2019-02-22T01:05:00Z</cp:lastPrinted>
  <dcterms:modified xsi:type="dcterms:W3CDTF">2021-05-30T06:36:13Z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DD11E9BFD2554FF4984B4206A57E2CB2</vt:lpwstr>
  </property>
</Properties>
</file>